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170A4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方正小标宋简体" w:hAnsi="方正小标宋简体" w:eastAsia="方正小标宋简体" w:cs="方正小标宋简体"/>
          <w:b/>
          <w:bCs w:val="0"/>
          <w:i w:val="0"/>
          <w:caps w:val="0"/>
          <w:snapToGrid/>
          <w:color w:val="333333"/>
          <w:spacing w:val="0"/>
          <w:sz w:val="44"/>
          <w:szCs w:val="44"/>
        </w:rPr>
      </w:pPr>
      <w:r>
        <w:rPr>
          <w:rFonts w:hint="eastAsia" w:ascii="方正小标宋简体" w:hAnsi="方正小标宋简体" w:eastAsia="方正小标宋简体" w:cs="方正小标宋简体"/>
          <w:b/>
          <w:bCs w:val="0"/>
          <w:i w:val="0"/>
          <w:caps w:val="0"/>
          <w:snapToGrid/>
          <w:color w:val="333333"/>
          <w:spacing w:val="0"/>
          <w:sz w:val="44"/>
          <w:szCs w:val="44"/>
        </w:rPr>
        <w:t>牡丹江市文体广电和旅游局</w:t>
      </w:r>
    </w:p>
    <w:p w14:paraId="500E833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楷体_GB2312" w:hAnsi="楷体_GB2312" w:eastAsia="楷体_GB2312" w:cs="楷体_GB2312"/>
          <w:b/>
          <w:bCs w:val="0"/>
          <w:i w:val="0"/>
          <w:caps w:val="0"/>
          <w:color w:val="333333"/>
          <w:spacing w:val="0"/>
          <w:sz w:val="32"/>
          <w:szCs w:val="32"/>
          <w:lang w:val="en-US" w:eastAsia="zh-CN"/>
        </w:rPr>
      </w:pPr>
      <w:r>
        <w:rPr>
          <w:rFonts w:hint="eastAsia" w:ascii="方正小标宋简体" w:hAnsi="方正小标宋简体" w:eastAsia="方正小标宋简体" w:cs="方正小标宋简体"/>
          <w:b/>
          <w:bCs w:val="0"/>
          <w:i w:val="0"/>
          <w:caps w:val="0"/>
          <w:snapToGrid/>
          <w:color w:val="333333"/>
          <w:spacing w:val="0"/>
          <w:sz w:val="44"/>
          <w:szCs w:val="44"/>
          <w:lang w:eastAsia="zh-CN"/>
        </w:rPr>
        <w:t>2025</w:t>
      </w:r>
      <w:r>
        <w:rPr>
          <w:rFonts w:hint="eastAsia" w:ascii="方正小标宋简体" w:hAnsi="方正小标宋简体" w:eastAsia="方正小标宋简体" w:cs="方正小标宋简体"/>
          <w:b/>
          <w:bCs w:val="0"/>
          <w:i w:val="0"/>
          <w:caps w:val="0"/>
          <w:snapToGrid/>
          <w:color w:val="333333"/>
          <w:spacing w:val="0"/>
          <w:sz w:val="44"/>
          <w:szCs w:val="44"/>
        </w:rPr>
        <w:t xml:space="preserve"> 年政府信息公开工作年度报告</w:t>
      </w:r>
    </w:p>
    <w:p w14:paraId="57FDBA6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600" w:lineRule="exact"/>
        <w:ind w:right="0"/>
        <w:jc w:val="center"/>
        <w:rPr>
          <w:rFonts w:hint="eastAsia" w:ascii="楷体_GB2312" w:hAnsi="楷体_GB2312" w:eastAsia="楷体_GB2312" w:cs="楷体_GB2312"/>
          <w:b/>
          <w:bCs w:val="0"/>
          <w:i w:val="0"/>
          <w:caps w:val="0"/>
          <w:color w:val="333333"/>
          <w:spacing w:val="0"/>
          <w:sz w:val="32"/>
          <w:szCs w:val="32"/>
          <w:lang w:val="en-US" w:eastAsia="zh-CN"/>
        </w:rPr>
      </w:pPr>
    </w:p>
    <w:p w14:paraId="63C66D1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0" w:afterAutospacing="0" w:line="600" w:lineRule="exact"/>
        <w:ind w:right="0"/>
        <w:jc w:val="center"/>
        <w:rPr>
          <w:rFonts w:ascii="Arial"/>
          <w:b/>
          <w:bCs w:val="0"/>
          <w:spacing w:val="0"/>
          <w:sz w:val="32"/>
          <w:szCs w:val="32"/>
        </w:rPr>
      </w:pPr>
      <w:r>
        <w:rPr>
          <w:rFonts w:hint="eastAsia" w:ascii="楷体_GB2312" w:hAnsi="楷体_GB2312" w:eastAsia="楷体_GB2312" w:cs="楷体_GB2312"/>
          <w:b/>
          <w:bCs w:val="0"/>
          <w:i w:val="0"/>
          <w:caps w:val="0"/>
          <w:color w:val="333333"/>
          <w:spacing w:val="0"/>
          <w:sz w:val="32"/>
          <w:szCs w:val="32"/>
          <w:lang w:val="en-US" w:eastAsia="zh-CN"/>
        </w:rPr>
        <w:t>2026年1月9日</w:t>
      </w:r>
    </w:p>
    <w:p w14:paraId="50568C5C">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pacing w:val="0"/>
          <w:sz w:val="32"/>
          <w:szCs w:val="32"/>
        </w:rPr>
      </w:pPr>
    </w:p>
    <w:p w14:paraId="7FD7CC19">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本年度报告是根据《中华人民共和国政府信息公开条例》和《</w:t>
      </w:r>
      <w:r>
        <w:rPr>
          <w:rFonts w:hint="eastAsia" w:ascii="仿宋_GB2312" w:hAnsi="仿宋_GB2312" w:eastAsia="仿宋_GB2312" w:cs="仿宋_GB2312"/>
          <w:spacing w:val="0"/>
          <w:sz w:val="32"/>
          <w:szCs w:val="32"/>
          <w:lang w:eastAsia="zh-CN"/>
        </w:rPr>
        <w:t>关于做好政府信息公开工作年度报告编制和发布工作的通知</w:t>
      </w:r>
      <w:r>
        <w:rPr>
          <w:rFonts w:hint="eastAsia" w:ascii="仿宋_GB2312" w:hAnsi="仿宋_GB2312" w:eastAsia="仿宋_GB2312" w:cs="仿宋_GB2312"/>
          <w:spacing w:val="0"/>
          <w:sz w:val="32"/>
          <w:szCs w:val="32"/>
        </w:rPr>
        <w:t>》要求，由</w:t>
      </w:r>
      <w:r>
        <w:rPr>
          <w:rFonts w:hint="eastAsia" w:ascii="仿宋_GB2312" w:hAnsi="仿宋_GB2312" w:eastAsia="仿宋_GB2312" w:cs="仿宋_GB2312"/>
          <w:spacing w:val="0"/>
          <w:sz w:val="32"/>
          <w:szCs w:val="32"/>
          <w:lang w:eastAsia="zh-CN"/>
        </w:rPr>
        <w:t>牡丹江</w:t>
      </w:r>
      <w:r>
        <w:rPr>
          <w:rFonts w:hint="eastAsia" w:ascii="仿宋_GB2312" w:hAnsi="仿宋_GB2312" w:eastAsia="仿宋_GB2312" w:cs="仿宋_GB2312"/>
          <w:spacing w:val="0"/>
          <w:sz w:val="32"/>
          <w:szCs w:val="32"/>
        </w:rPr>
        <w:t>市</w:t>
      </w:r>
      <w:r>
        <w:rPr>
          <w:rFonts w:hint="eastAsia" w:ascii="仿宋_GB2312" w:hAnsi="仿宋_GB2312" w:eastAsia="仿宋_GB2312" w:cs="仿宋_GB2312"/>
          <w:spacing w:val="0"/>
          <w:sz w:val="32"/>
          <w:szCs w:val="32"/>
          <w:lang w:eastAsia="zh-CN"/>
        </w:rPr>
        <w:t>文体广电和旅游</w:t>
      </w:r>
      <w:r>
        <w:rPr>
          <w:rFonts w:hint="eastAsia" w:ascii="仿宋_GB2312" w:hAnsi="仿宋_GB2312" w:eastAsia="仿宋_GB2312" w:cs="仿宋_GB2312"/>
          <w:spacing w:val="0"/>
          <w:sz w:val="32"/>
          <w:szCs w:val="32"/>
        </w:rPr>
        <w:t>局编制。全文报告共分总体情况，主动公开政府信息情况，收到和处理政府信息公开申请情况，政府信息公开行政复议、行政诉讼情况</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存在的主要问题及改进情况及其他需要报告的事项六个部分。报告所列数据的统计期限自</w:t>
      </w:r>
      <w:r>
        <w:rPr>
          <w:rFonts w:hint="eastAsia" w:ascii="仿宋_GB2312" w:hAnsi="仿宋_GB2312" w:eastAsia="仿宋_GB2312" w:cs="仿宋_GB2312"/>
          <w:spacing w:val="0"/>
          <w:sz w:val="32"/>
          <w:szCs w:val="32"/>
          <w:lang w:val="en-US" w:eastAsia="zh-CN"/>
        </w:rPr>
        <w:t>2025</w:t>
      </w:r>
      <w:r>
        <w:rPr>
          <w:rFonts w:hint="eastAsia" w:ascii="仿宋_GB2312" w:hAnsi="仿宋_GB2312" w:eastAsia="仿宋_GB2312" w:cs="仿宋_GB2312"/>
          <w:spacing w:val="0"/>
          <w:sz w:val="32"/>
          <w:szCs w:val="32"/>
        </w:rPr>
        <w:t>年</w:t>
      </w:r>
      <w:r>
        <w:rPr>
          <w:rFonts w:hint="eastAsia" w:ascii="仿宋_GB2312" w:hAnsi="仿宋_GB2312" w:eastAsia="仿宋_GB2312" w:cs="仿宋_GB2312"/>
          <w:spacing w:val="0"/>
          <w:sz w:val="32"/>
          <w:szCs w:val="32"/>
          <w:lang w:val="en-US" w:eastAsia="zh-CN"/>
        </w:rPr>
        <w:t>1</w:t>
      </w:r>
      <w:r>
        <w:rPr>
          <w:rFonts w:hint="eastAsia" w:ascii="仿宋_GB2312" w:hAnsi="仿宋_GB2312" w:eastAsia="仿宋_GB2312" w:cs="仿宋_GB2312"/>
          <w:spacing w:val="0"/>
          <w:sz w:val="32"/>
          <w:szCs w:val="32"/>
        </w:rPr>
        <w:t>月1日起至</w:t>
      </w:r>
      <w:r>
        <w:rPr>
          <w:rFonts w:hint="eastAsia" w:ascii="仿宋_GB2312" w:hAnsi="仿宋_GB2312" w:eastAsia="仿宋_GB2312" w:cs="仿宋_GB2312"/>
          <w:spacing w:val="0"/>
          <w:sz w:val="32"/>
          <w:szCs w:val="32"/>
          <w:lang w:eastAsia="zh-CN"/>
        </w:rPr>
        <w:t>2025</w:t>
      </w:r>
      <w:r>
        <w:rPr>
          <w:rFonts w:hint="eastAsia" w:ascii="仿宋_GB2312" w:hAnsi="仿宋_GB2312" w:eastAsia="仿宋_GB2312" w:cs="仿宋_GB2312"/>
          <w:spacing w:val="0"/>
          <w:sz w:val="32"/>
          <w:szCs w:val="32"/>
        </w:rPr>
        <w:t>年12月31日止。</w:t>
      </w:r>
    </w:p>
    <w:p w14:paraId="17A7026A">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一、总体情况</w:t>
      </w:r>
    </w:p>
    <w:p w14:paraId="5B95384F">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2025年，市文体广电和旅游局坚持以习近平新时代中国特色社会主义思想为指导，深入贯彻落实国家、省、市关于政务公开工作的决策部署，紧密围绕全市文体广旅中心工作，聚焦群众关切，持续深化公开内容、规范公开流程、拓展公开渠道，全面提升政府信息公开工作质效，助力优化营商环境和提升政府公信力。</w:t>
      </w:r>
    </w:p>
    <w:p w14:paraId="76FF2D2D">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default" w:ascii="仿宋_GB2312" w:hAnsi="仿宋_GB2312" w:eastAsia="仿宋_GB2312" w:cs="仿宋_GB2312"/>
          <w:spacing w:val="0"/>
          <w:sz w:val="32"/>
          <w:szCs w:val="32"/>
          <w:lang w:val="en-US" w:eastAsia="zh-CN"/>
        </w:rPr>
      </w:pPr>
      <w:r>
        <w:rPr>
          <w:rFonts w:hint="eastAsia" w:ascii="楷体_GB2312" w:hAnsi="楷体_GB2312" w:eastAsia="楷体_GB2312" w:cs="楷体_GB2312"/>
          <w:b/>
          <w:bCs/>
          <w:spacing w:val="0"/>
          <w:sz w:val="32"/>
          <w:szCs w:val="32"/>
          <w:lang w:val="en-US" w:eastAsia="zh-CN"/>
        </w:rPr>
        <w:t>（一）健全工作机制，压实公开责任</w:t>
      </w:r>
      <w:r>
        <w:rPr>
          <w:rFonts w:hint="eastAsia" w:ascii="仿宋_GB2312" w:hAnsi="仿宋_GB2312" w:eastAsia="仿宋_GB2312" w:cs="仿宋_GB2312"/>
          <w:spacing w:val="0"/>
          <w:sz w:val="32"/>
          <w:szCs w:val="32"/>
          <w:lang w:val="en-US" w:eastAsia="zh-CN"/>
        </w:rPr>
        <w:t>。</w:t>
      </w:r>
      <w:r>
        <w:rPr>
          <w:rFonts w:hint="default" w:ascii="仿宋_GB2312" w:hAnsi="仿宋_GB2312" w:eastAsia="仿宋_GB2312" w:cs="仿宋_GB2312"/>
          <w:spacing w:val="0"/>
          <w:sz w:val="32"/>
          <w:szCs w:val="32"/>
          <w:lang w:val="en-US" w:eastAsia="zh-CN"/>
        </w:rPr>
        <w:t>根据人员变动情况及时调整政务公开工作领导小组，由局主要领导担任组长，分管领导具体负责，局办公室统筹协调，各业务科室分工落实，形成一级抓一级、层层抓落实的工作格局。严格执行信息公开保密审查制度，落实“谁公开、谁审查、谁负责”原则，确保信息发布安全规范。</w:t>
      </w:r>
    </w:p>
    <w:p w14:paraId="7B942B51">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default" w:ascii="仿宋_GB2312" w:hAnsi="仿宋_GB2312" w:eastAsia="仿宋_GB2312" w:cs="仿宋_GB2312"/>
          <w:spacing w:val="0"/>
          <w:sz w:val="32"/>
          <w:szCs w:val="32"/>
          <w:lang w:val="en-US" w:eastAsia="zh-CN"/>
        </w:rPr>
      </w:pPr>
      <w:r>
        <w:rPr>
          <w:rFonts w:hint="eastAsia" w:ascii="楷体_GB2312" w:hAnsi="楷体_GB2312" w:eastAsia="楷体_GB2312" w:cs="楷体_GB2312"/>
          <w:b/>
          <w:bCs/>
          <w:spacing w:val="0"/>
          <w:sz w:val="32"/>
          <w:szCs w:val="32"/>
          <w:lang w:val="en-US" w:eastAsia="zh-CN"/>
        </w:rPr>
        <w:t>（二）规范信息管理，提升公开质量</w:t>
      </w:r>
      <w:r>
        <w:rPr>
          <w:rFonts w:hint="eastAsia" w:ascii="仿宋_GB2312" w:hAnsi="仿宋_GB2312" w:eastAsia="仿宋_GB2312" w:cs="仿宋_GB2312"/>
          <w:spacing w:val="0"/>
          <w:sz w:val="32"/>
          <w:szCs w:val="32"/>
          <w:lang w:val="en-US" w:eastAsia="zh-CN"/>
        </w:rPr>
        <w:t>。</w:t>
      </w:r>
      <w:r>
        <w:rPr>
          <w:rFonts w:hint="default" w:ascii="仿宋_GB2312" w:hAnsi="仿宋_GB2312" w:eastAsia="仿宋_GB2312" w:cs="仿宋_GB2312"/>
          <w:spacing w:val="0"/>
          <w:sz w:val="32"/>
          <w:szCs w:val="32"/>
          <w:lang w:val="en-US" w:eastAsia="zh-CN"/>
        </w:rPr>
        <w:t>严格执行政府网站信息发布三级审核机制，加强内容审核把关，确保信息准确、合规、及时。结合牡丹江地域特色和文体旅资源，突出公开冰雪旅游、文化惠民、体育赛事等重点领域信息，增强公开的针对性和实用性。</w:t>
      </w:r>
    </w:p>
    <w:p w14:paraId="4493ABD6">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default" w:ascii="仿宋_GB2312" w:hAnsi="仿宋_GB2312" w:eastAsia="仿宋_GB2312" w:cs="仿宋_GB2312"/>
          <w:spacing w:val="0"/>
          <w:sz w:val="32"/>
          <w:szCs w:val="32"/>
          <w:lang w:val="en-US" w:eastAsia="zh-CN"/>
        </w:rPr>
      </w:pPr>
      <w:r>
        <w:rPr>
          <w:rFonts w:hint="default" w:ascii="楷体_GB2312" w:hAnsi="楷体_GB2312" w:eastAsia="楷体_GB2312" w:cs="楷体_GB2312"/>
          <w:b/>
          <w:bCs/>
          <w:spacing w:val="0"/>
          <w:sz w:val="32"/>
          <w:szCs w:val="32"/>
          <w:lang w:val="en-US" w:eastAsia="zh-CN"/>
        </w:rPr>
        <w:t>（三）拓展公开渠道，增强传播效果</w:t>
      </w:r>
      <w:r>
        <w:rPr>
          <w:rFonts w:hint="eastAsia" w:ascii="仿宋_GB2312" w:hAnsi="仿宋_GB2312" w:eastAsia="仿宋_GB2312" w:cs="仿宋_GB2312"/>
          <w:spacing w:val="0"/>
          <w:sz w:val="32"/>
          <w:szCs w:val="32"/>
          <w:lang w:val="en-US" w:eastAsia="zh-CN"/>
        </w:rPr>
        <w:t>。</w:t>
      </w:r>
      <w:r>
        <w:rPr>
          <w:rFonts w:hint="default" w:ascii="仿宋_GB2312" w:hAnsi="仿宋_GB2312" w:eastAsia="仿宋_GB2312" w:cs="仿宋_GB2312"/>
          <w:spacing w:val="0"/>
          <w:sz w:val="32"/>
          <w:szCs w:val="32"/>
          <w:lang w:val="en-US" w:eastAsia="zh-CN"/>
        </w:rPr>
        <w:t>2025年通过市政府门户网站发布政务信息58条，内容涵盖政策文件、工作动态、规划计划等。积极运用“两微一抖”等新媒体平台，全年累计发布文旅图文、短视频700余条，微信订阅号粉丝达3.2万人，抖音账号关注量突破2.5万。围绕夏季避暑、冬季冰雪旅游“百日行动”，联合市电视台、博物馆、图书馆等开展主题宣传，全网浏览量超20亿次，有效提升牡丹江文旅品牌影响力。</w:t>
      </w:r>
    </w:p>
    <w:p w14:paraId="15BAC37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wordWrap/>
        <w:overflowPunct/>
        <w:topLinePunct w:val="0"/>
        <w:bidi w:val="0"/>
        <w:spacing w:before="0" w:beforeAutospacing="0" w:after="240" w:afterAutospacing="0" w:line="600" w:lineRule="exact"/>
        <w:ind w:right="0" w:firstLine="640" w:firstLineChars="200"/>
        <w:jc w:val="both"/>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rPr>
        <w:t>二、主动公开政府信息情况</w:t>
      </w:r>
    </w:p>
    <w:tbl>
      <w:tblPr>
        <w:tblStyle w:val="6"/>
        <w:tblpPr w:leftFromText="180" w:rightFromText="180" w:vertAnchor="text" w:horzAnchor="page" w:tblpX="1499" w:tblpY="312"/>
        <w:tblOverlap w:val="never"/>
        <w:tblW w:w="9380" w:type="dxa"/>
        <w:tblInd w:w="0" w:type="dxa"/>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341"/>
        <w:gridCol w:w="2341"/>
        <w:gridCol w:w="2341"/>
        <w:gridCol w:w="2357"/>
      </w:tblGrid>
      <w:tr w14:paraId="402D2268">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8" w:hRule="atLeast"/>
        </w:trPr>
        <w:tc>
          <w:tcPr>
            <w:tcW w:w="9380"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14:paraId="480060D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第二十条第（一）项</w:t>
            </w:r>
          </w:p>
        </w:tc>
      </w:tr>
      <w:tr w14:paraId="5BC1F01A">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8" w:hRule="atLeast"/>
        </w:trPr>
        <w:tc>
          <w:tcPr>
            <w:tcW w:w="2341"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13EC6CE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信息内容</w:t>
            </w:r>
          </w:p>
        </w:tc>
        <w:tc>
          <w:tcPr>
            <w:tcW w:w="2341"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392A51E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w:t>
            </w:r>
            <w:r>
              <w:rPr>
                <w:rFonts w:hint="eastAsia" w:ascii="宋体" w:hAnsi="宋体" w:eastAsia="宋体" w:cs="宋体"/>
                <w:sz w:val="19"/>
                <w:szCs w:val="19"/>
              </w:rPr>
              <w:t>制发件数</w:t>
            </w:r>
          </w:p>
        </w:tc>
        <w:tc>
          <w:tcPr>
            <w:tcW w:w="2341"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1BD81A5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本年废止件数</w:t>
            </w:r>
          </w:p>
        </w:tc>
        <w:tc>
          <w:tcPr>
            <w:tcW w:w="2357"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589BF22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现行有效件</w:t>
            </w:r>
            <w:r>
              <w:rPr>
                <w:rFonts w:hint="eastAsia" w:ascii="宋体" w:hAnsi="宋体" w:eastAsia="宋体" w:cs="宋体"/>
                <w:sz w:val="19"/>
                <w:szCs w:val="19"/>
              </w:rPr>
              <w:t>数</w:t>
            </w:r>
          </w:p>
        </w:tc>
      </w:tr>
      <w:tr w14:paraId="78AB3CC4">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8" w:hRule="atLeast"/>
        </w:trPr>
        <w:tc>
          <w:tcPr>
            <w:tcW w:w="2341"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525AEB7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规章</w:t>
            </w:r>
          </w:p>
        </w:tc>
        <w:tc>
          <w:tcPr>
            <w:tcW w:w="2341"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91DC56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2341"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897A64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235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A9C35E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1C26D5CA">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8" w:hRule="atLeast"/>
        </w:trPr>
        <w:tc>
          <w:tcPr>
            <w:tcW w:w="2341"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7FFF328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行政规范性文件</w:t>
            </w:r>
          </w:p>
        </w:tc>
        <w:tc>
          <w:tcPr>
            <w:tcW w:w="2341"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2068587">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eastAsiaTheme="minorEastAsia"/>
                <w:lang w:val="en-US" w:eastAsia="zh-CN"/>
              </w:rPr>
              <w:t>0</w:t>
            </w:r>
          </w:p>
        </w:tc>
        <w:tc>
          <w:tcPr>
            <w:tcW w:w="2341"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CB4AAF4">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0</w:t>
            </w:r>
          </w:p>
        </w:tc>
        <w:tc>
          <w:tcPr>
            <w:tcW w:w="2357"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2D20454">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eastAsiaTheme="minorEastAsia"/>
                <w:lang w:val="en-US" w:eastAsia="zh-CN"/>
              </w:rPr>
              <w:t>0</w:t>
            </w:r>
          </w:p>
        </w:tc>
      </w:tr>
      <w:tr w14:paraId="2CF6E2E2">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8" w:hRule="atLeast"/>
        </w:trPr>
        <w:tc>
          <w:tcPr>
            <w:tcW w:w="9380"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14:paraId="14F5D67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第二十条第（五）项</w:t>
            </w:r>
          </w:p>
        </w:tc>
      </w:tr>
      <w:tr w14:paraId="0561DEE4">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8" w:hRule="atLeast"/>
        </w:trPr>
        <w:tc>
          <w:tcPr>
            <w:tcW w:w="2341"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75E68DE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信息内容</w:t>
            </w:r>
          </w:p>
        </w:tc>
        <w:tc>
          <w:tcPr>
            <w:tcW w:w="7039"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06FB45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本年处理决定数量</w:t>
            </w:r>
          </w:p>
        </w:tc>
      </w:tr>
      <w:tr w14:paraId="137C8FA4">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8" w:hRule="atLeast"/>
        </w:trPr>
        <w:tc>
          <w:tcPr>
            <w:tcW w:w="2341"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5F64FA3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行政许可</w:t>
            </w:r>
          </w:p>
        </w:tc>
        <w:tc>
          <w:tcPr>
            <w:tcW w:w="7039"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889F3B8">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eastAsiaTheme="minorEastAsia"/>
                <w:lang w:val="en-US" w:eastAsia="zh-CN"/>
              </w:rPr>
              <w:t>738</w:t>
            </w:r>
          </w:p>
        </w:tc>
      </w:tr>
      <w:tr w14:paraId="71B909A4">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8" w:hRule="atLeast"/>
        </w:trPr>
        <w:tc>
          <w:tcPr>
            <w:tcW w:w="9380"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14:paraId="7438CDB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第二十条第（六）项</w:t>
            </w:r>
          </w:p>
        </w:tc>
      </w:tr>
      <w:tr w14:paraId="5768ABBF">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8" w:hRule="atLeast"/>
        </w:trPr>
        <w:tc>
          <w:tcPr>
            <w:tcW w:w="2341"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3E9A6D3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sz w:val="19"/>
                <w:szCs w:val="19"/>
              </w:rPr>
              <w:t>信息内容</w:t>
            </w:r>
          </w:p>
        </w:tc>
        <w:tc>
          <w:tcPr>
            <w:tcW w:w="7039" w:type="dxa"/>
            <w:gridSpan w:val="3"/>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204EA51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sz w:val="19"/>
                <w:szCs w:val="19"/>
              </w:rPr>
              <w:t>本年处理决定数量</w:t>
            </w:r>
          </w:p>
        </w:tc>
      </w:tr>
      <w:tr w14:paraId="170E38BC">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8" w:hRule="atLeast"/>
        </w:trPr>
        <w:tc>
          <w:tcPr>
            <w:tcW w:w="2341"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3AA077C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行政处罚</w:t>
            </w:r>
          </w:p>
        </w:tc>
        <w:tc>
          <w:tcPr>
            <w:tcW w:w="7039"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8783CE0">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eastAsiaTheme="minorEastAsia"/>
                <w:lang w:val="en-US" w:eastAsia="zh-CN"/>
              </w:rPr>
              <w:t>22</w:t>
            </w:r>
          </w:p>
        </w:tc>
      </w:tr>
      <w:tr w14:paraId="0AF737D2">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8" w:hRule="atLeast"/>
        </w:trPr>
        <w:tc>
          <w:tcPr>
            <w:tcW w:w="2341"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27F353E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行政强制</w:t>
            </w:r>
          </w:p>
        </w:tc>
        <w:tc>
          <w:tcPr>
            <w:tcW w:w="7039"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3E45CD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6BF3DDE7">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8" w:hRule="atLeast"/>
        </w:trPr>
        <w:tc>
          <w:tcPr>
            <w:tcW w:w="9380"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14:paraId="1B66A60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第二十条第（八）项</w:t>
            </w:r>
          </w:p>
        </w:tc>
      </w:tr>
      <w:tr w14:paraId="142197E4">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8" w:hRule="atLeast"/>
        </w:trPr>
        <w:tc>
          <w:tcPr>
            <w:tcW w:w="2341"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5809DAC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信息内容</w:t>
            </w:r>
          </w:p>
        </w:tc>
        <w:tc>
          <w:tcPr>
            <w:tcW w:w="7039" w:type="dxa"/>
            <w:gridSpan w:val="3"/>
            <w:tcBorders>
              <w:top w:val="nil"/>
              <w:left w:val="nil"/>
              <w:bottom w:val="single" w:color="auto" w:sz="6" w:space="0"/>
              <w:right w:val="single" w:color="000000" w:sz="6" w:space="0"/>
            </w:tcBorders>
            <w:shd w:val="clear" w:color="auto" w:fill="auto"/>
            <w:tcMar>
              <w:top w:w="0" w:type="dxa"/>
              <w:left w:w="60" w:type="dxa"/>
              <w:bottom w:w="0" w:type="dxa"/>
              <w:right w:w="60" w:type="dxa"/>
            </w:tcMar>
            <w:vAlign w:val="center"/>
          </w:tcPr>
          <w:p w14:paraId="510942F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本年收费金额（单位：万元）</w:t>
            </w:r>
          </w:p>
        </w:tc>
      </w:tr>
      <w:tr w14:paraId="4517B725">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62" w:hRule="atLeast"/>
        </w:trPr>
        <w:tc>
          <w:tcPr>
            <w:tcW w:w="2341"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414F57E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行政事业性收费</w:t>
            </w:r>
          </w:p>
        </w:tc>
        <w:tc>
          <w:tcPr>
            <w:tcW w:w="7039" w:type="dxa"/>
            <w:gridSpan w:val="3"/>
            <w:tcBorders>
              <w:top w:val="nil"/>
              <w:left w:val="nil"/>
              <w:bottom w:val="single" w:color="auto" w:sz="6" w:space="0"/>
              <w:right w:val="single" w:color="000000" w:sz="6" w:space="0"/>
            </w:tcBorders>
            <w:shd w:val="clear" w:color="auto" w:fill="auto"/>
            <w:tcMar>
              <w:top w:w="0" w:type="dxa"/>
              <w:left w:w="60" w:type="dxa"/>
              <w:bottom w:w="0" w:type="dxa"/>
              <w:right w:w="60" w:type="dxa"/>
            </w:tcMar>
            <w:vAlign w:val="center"/>
          </w:tcPr>
          <w:p w14:paraId="4857D436">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0</w:t>
            </w:r>
          </w:p>
        </w:tc>
      </w:tr>
    </w:tbl>
    <w:p w14:paraId="47340CE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32" w:lineRule="atLeast"/>
        <w:ind w:right="0" w:firstLine="640" w:firstLineChars="200"/>
        <w:jc w:val="both"/>
      </w:pPr>
      <w:r>
        <w:rPr>
          <w:rFonts w:hint="eastAsia" w:ascii="黑体" w:hAnsi="黑体" w:eastAsia="黑体" w:cs="黑体"/>
          <w:b w:val="0"/>
          <w:bCs/>
          <w:i w:val="0"/>
          <w:caps w:val="0"/>
          <w:color w:val="333333"/>
          <w:spacing w:val="0"/>
          <w:sz w:val="32"/>
          <w:szCs w:val="32"/>
        </w:rPr>
        <w:t>三、收到和处理政府信息公开申请情况</w:t>
      </w:r>
    </w:p>
    <w:tbl>
      <w:tblPr>
        <w:tblStyle w:val="6"/>
        <w:tblW w:w="975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60"/>
        <w:gridCol w:w="941"/>
        <w:gridCol w:w="3205"/>
        <w:gridCol w:w="692"/>
        <w:gridCol w:w="692"/>
        <w:gridCol w:w="692"/>
        <w:gridCol w:w="692"/>
        <w:gridCol w:w="692"/>
        <w:gridCol w:w="692"/>
        <w:gridCol w:w="692"/>
      </w:tblGrid>
      <w:tr w14:paraId="19AF6299">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4906" w:type="dxa"/>
            <w:gridSpan w:val="3"/>
            <w:vMerge w:val="restart"/>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14:paraId="6A8D79D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ascii="楷体" w:hAnsi="楷体" w:eastAsia="楷体" w:cs="楷体"/>
                <w:sz w:val="19"/>
                <w:szCs w:val="19"/>
              </w:rPr>
              <w:t>（本列数据的勾稽关系为：第一项加第二项之和，等于第三项加第四项之和）</w:t>
            </w:r>
          </w:p>
        </w:tc>
        <w:tc>
          <w:tcPr>
            <w:tcW w:w="4844" w:type="dxa"/>
            <w:gridSpan w:val="7"/>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18EF707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申请人情况</w:t>
            </w:r>
          </w:p>
        </w:tc>
      </w:tr>
      <w:tr w14:paraId="67C0940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4906" w:type="dxa"/>
            <w:gridSpan w:val="3"/>
            <w:vMerge w:val="continue"/>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14:paraId="7FFF026B">
            <w:pPr>
              <w:rPr>
                <w:rFonts w:hint="eastAsia" w:ascii="宋体"/>
                <w:sz w:val="24"/>
                <w:szCs w:val="24"/>
              </w:rPr>
            </w:pPr>
          </w:p>
        </w:tc>
        <w:tc>
          <w:tcPr>
            <w:tcW w:w="692" w:type="dxa"/>
            <w:vMerge w:val="restart"/>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838EEF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自然人</w:t>
            </w:r>
          </w:p>
        </w:tc>
        <w:tc>
          <w:tcPr>
            <w:tcW w:w="3460" w:type="dxa"/>
            <w:gridSpan w:val="5"/>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7A78073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法人或其他组织</w:t>
            </w:r>
          </w:p>
        </w:tc>
        <w:tc>
          <w:tcPr>
            <w:tcW w:w="692" w:type="dxa"/>
            <w:vMerge w:val="restart"/>
            <w:tcBorders>
              <w:top w:val="single"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14:paraId="52F0B0D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总计</w:t>
            </w:r>
          </w:p>
        </w:tc>
      </w:tr>
      <w:tr w14:paraId="70135779">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4906" w:type="dxa"/>
            <w:gridSpan w:val="3"/>
            <w:vMerge w:val="continue"/>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14:paraId="60F323DB">
            <w:pPr>
              <w:rPr>
                <w:rFonts w:hint="eastAsia" w:ascii="宋体"/>
                <w:sz w:val="24"/>
                <w:szCs w:val="24"/>
              </w:rPr>
            </w:pPr>
          </w:p>
        </w:tc>
        <w:tc>
          <w:tcPr>
            <w:tcW w:w="692" w:type="dxa"/>
            <w:vMerge w:val="continue"/>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994AEDB">
            <w:pPr>
              <w:rPr>
                <w:rFonts w:hint="eastAsia" w:ascii="宋体"/>
                <w:sz w:val="24"/>
                <w:szCs w:val="24"/>
              </w:rPr>
            </w:pP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897936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商业</w:t>
            </w:r>
          </w:p>
          <w:p w14:paraId="65BC931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企业</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6D4F42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科研</w:t>
            </w:r>
          </w:p>
          <w:p w14:paraId="1A36584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机构</w:t>
            </w:r>
          </w:p>
        </w:tc>
        <w:tc>
          <w:tcPr>
            <w:tcW w:w="692"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6118D54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社会公益组织</w:t>
            </w:r>
          </w:p>
        </w:tc>
        <w:tc>
          <w:tcPr>
            <w:tcW w:w="692"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1FD3B23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法律服务机构</w:t>
            </w:r>
          </w:p>
        </w:tc>
        <w:tc>
          <w:tcPr>
            <w:tcW w:w="692"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2D7858D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其他</w:t>
            </w:r>
          </w:p>
        </w:tc>
        <w:tc>
          <w:tcPr>
            <w:tcW w:w="692" w:type="dxa"/>
            <w:vMerge w:val="continue"/>
            <w:tcBorders>
              <w:top w:val="single"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14:paraId="77C53154">
            <w:pPr>
              <w:rPr>
                <w:rFonts w:hint="eastAsia" w:ascii="宋体"/>
                <w:sz w:val="24"/>
                <w:szCs w:val="24"/>
              </w:rPr>
            </w:pPr>
          </w:p>
        </w:tc>
      </w:tr>
      <w:tr w14:paraId="1542DD74">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72FD011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一、本年新收政府信息公开申请数量</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4FF7DE5">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eastAsiaTheme="minor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B568A1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6020B8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841D850">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733B1A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28FE723">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1D7A6AD">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eastAsiaTheme="minorEastAsia"/>
                <w:lang w:val="en-US" w:eastAsia="zh-CN"/>
              </w:rPr>
              <w:t>0</w:t>
            </w:r>
          </w:p>
        </w:tc>
      </w:tr>
      <w:tr w14:paraId="69723B6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4B941B4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二、上年结转政府信息公开申请数量</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A620B4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0BD877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22A21B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D74557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EAB927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8D21EB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5CF51D0F">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370600FA">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restart"/>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704C02D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三、本年度办理结果</w:t>
            </w:r>
          </w:p>
        </w:tc>
        <w:tc>
          <w:tcPr>
            <w:tcW w:w="4146"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233C96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（一）予以公开</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001F3B6">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eastAsiaTheme="minor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89275F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7CABEC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AD1B035">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635CBA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410582E">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0</w:t>
            </w:r>
          </w:p>
        </w:tc>
        <w:tc>
          <w:tcPr>
            <w:tcW w:w="692"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top"/>
          </w:tcPr>
          <w:p w14:paraId="20B22689">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eastAsiaTheme="minorEastAsia"/>
                <w:lang w:val="en-US" w:eastAsia="zh-CN"/>
              </w:rPr>
              <w:t>0</w:t>
            </w:r>
          </w:p>
        </w:tc>
      </w:tr>
      <w:tr w14:paraId="0E9FC602">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0A46B2F6">
            <w:pPr>
              <w:rPr>
                <w:rFonts w:hint="eastAsia" w:ascii="宋体"/>
                <w:sz w:val="24"/>
                <w:szCs w:val="24"/>
              </w:rPr>
            </w:pPr>
          </w:p>
        </w:tc>
        <w:tc>
          <w:tcPr>
            <w:tcW w:w="4146"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007371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（二）部分公开</w:t>
            </w:r>
            <w:r>
              <w:rPr>
                <w:rFonts w:hint="eastAsia" w:ascii="楷体" w:hAnsi="楷体" w:eastAsia="楷体" w:cs="楷体"/>
                <w:sz w:val="19"/>
                <w:szCs w:val="19"/>
              </w:rPr>
              <w:t>（区分处理的，只计这一情形，不计其他情形）</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AEDB57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2A5DDA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733654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631431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7A7A12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A8AD73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40CAA7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2177492E">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302D2672">
            <w:pPr>
              <w:rPr>
                <w:rFonts w:hint="eastAsia" w:ascii="宋体"/>
                <w:sz w:val="24"/>
                <w:szCs w:val="24"/>
              </w:rPr>
            </w:pPr>
          </w:p>
        </w:tc>
        <w:tc>
          <w:tcPr>
            <w:tcW w:w="941" w:type="dxa"/>
            <w:vMerge w:val="restart"/>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1A49E66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（三）不予公开</w:t>
            </w: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A8D62C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1.属于国家秘密</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C47E495">
            <w:pPr>
              <w:keepNext w:val="0"/>
              <w:keepLines w:val="0"/>
              <w:widowControl/>
              <w:suppressLineNumbers w:val="0"/>
              <w:spacing w:before="0" w:beforeAutospacing="0" w:after="0" w:afterAutospacing="0"/>
              <w:ind w:left="0" w:leftChars="0" w:right="0" w:rightChars="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5789DF1">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27B9B8C">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18951E6">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E4DDE3E">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9DBF5EE">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top"/>
          </w:tcPr>
          <w:p w14:paraId="752EF9D4">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r>
      <w:tr w14:paraId="6E88B3E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6C8505B6">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0D69E3EA">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81C53F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2.其他法律行政法规禁止公开</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BCF4DEC">
            <w:pPr>
              <w:keepNext w:val="0"/>
              <w:keepLines w:val="0"/>
              <w:widowControl/>
              <w:suppressLineNumbers w:val="0"/>
              <w:spacing w:before="0" w:beforeAutospacing="0" w:after="0" w:afterAutospacing="0"/>
              <w:ind w:left="0" w:leftChars="0" w:right="0" w:rightChars="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5C810AF">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2D74E95">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C9401F7">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B62DE3F">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A352E1C">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7D6AFFA5">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r>
      <w:tr w14:paraId="571961E2">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1F8E3842">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343A1407">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8DE1AB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3.危及“三安全一稳定”</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5D6731E">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3E34A10">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B97F323">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C12AEF2">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13C4244">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F80C1B1">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7752F8FF">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r>
      <w:tr w14:paraId="627F27C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0D0BB80C">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7ABC6558">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A997FA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4.保护第三方合法权益</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8672933">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B29D610">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CB406C2">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CFACCF0">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E506166">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9209B7C">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7F8A7897">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r>
      <w:tr w14:paraId="59A66DCA">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157584E0">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01D7A957">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C5E28E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5.属于三类内部事务信息</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47BB42B">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E4EF131">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FF03264">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2071917">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F2D5A6B">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0B639CA">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E4EA95A">
            <w:pPr>
              <w:keepNext w:val="0"/>
              <w:keepLines w:val="0"/>
              <w:widowControl/>
              <w:suppressLineNumbers w:val="0"/>
              <w:spacing w:before="0" w:beforeAutospacing="0" w:after="0" w:afterAutospacing="0"/>
              <w:ind w:left="0" w:leftChars="0" w:right="0" w:rightChars="0"/>
              <w:jc w:val="center"/>
            </w:pPr>
            <w:r>
              <w:rPr>
                <w:rFonts w:hint="eastAsia"/>
                <w:lang w:val="en-US" w:eastAsia="zh-CN"/>
              </w:rPr>
              <w:t>0</w:t>
            </w:r>
          </w:p>
        </w:tc>
      </w:tr>
      <w:tr w14:paraId="17B02507">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58371949">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2215B299">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FA27D7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6.属于四类过程性信息</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27E5861">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1232C2D">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8F19EA0">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95FD214">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3BFE8EC">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189D324">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83DAA40">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14:paraId="6AA470D6">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03E27661">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528108D7">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BF8138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7.属于行政执法案卷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F78B055">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CEFDC97">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B892201">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F4D4B97">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8511CD1">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F2FDE0E">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AE6E25B">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r>
      <w:tr w14:paraId="25793526">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2BD6FA23">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60B5F266">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7F72DB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8.属于行政查询事项</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3199541">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DB464E4">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3A1211D">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E8BD89E">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16799E8">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814FBCB">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B19EEC6">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r>
      <w:tr w14:paraId="2415A378">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6CA7478D">
            <w:pPr>
              <w:rPr>
                <w:rFonts w:hint="eastAsia" w:ascii="宋体"/>
                <w:sz w:val="24"/>
                <w:szCs w:val="24"/>
              </w:rPr>
            </w:pPr>
          </w:p>
        </w:tc>
        <w:tc>
          <w:tcPr>
            <w:tcW w:w="941" w:type="dxa"/>
            <w:vMerge w:val="restart"/>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381BB9B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（四）无法提供</w:t>
            </w: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453C2E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1.本机关不掌握相关政府信息</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CF05328">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61B37AF">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44935FF">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A24D216">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6331D22">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7382112">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57640110">
            <w:pPr>
              <w:keepNext w:val="0"/>
              <w:keepLines w:val="0"/>
              <w:widowControl/>
              <w:suppressLineNumbers w:val="0"/>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0</w:t>
            </w:r>
          </w:p>
        </w:tc>
      </w:tr>
      <w:tr w14:paraId="60C22F85">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59E31211">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580A434C">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AD4292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2.没有现成信息需要另行制作</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0C09090">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93BF63F">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551A9EA">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3719BE0">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3EC31EF">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5518E2D">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A21E5C3">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r>
      <w:tr w14:paraId="1CA9FAF7">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796859E5">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674C5D1E">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C6AB23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3.补正后申请内容仍不明确</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4EA27E4">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CF93FD0">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5A82C13">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8904331">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A5BE6A4">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6001EB4">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7E755BCD">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r>
      <w:tr w14:paraId="4B18BDDF">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20DF3D41">
            <w:pPr>
              <w:rPr>
                <w:rFonts w:hint="eastAsia" w:ascii="宋体"/>
                <w:sz w:val="24"/>
                <w:szCs w:val="24"/>
              </w:rPr>
            </w:pPr>
          </w:p>
        </w:tc>
        <w:tc>
          <w:tcPr>
            <w:tcW w:w="941" w:type="dxa"/>
            <w:vMerge w:val="restart"/>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366183E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（五）不予处理</w:t>
            </w: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161F9C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1.信访举报投诉类申请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684E794">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89EA397">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741072F">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ECE1501">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EB93226">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9E979BF">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B4F90EB">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14:paraId="4F53A098">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5EC8A952">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10631893">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EF3F36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2.重复申请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9FA4C77">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37B0A37">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C805446">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B44F3D6">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9401DB8">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9B37398">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C269FFE">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r>
      <w:tr w14:paraId="05D64F95">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46F8D2D6">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0EAB6CC8">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CB304F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3.要求提供公开出版物</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CD9C788">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BA7B67A">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FA6CFEF">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29ABFEE">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7820642">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CA8E8A0">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B782F43">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r>
      <w:tr w14:paraId="5F20CB09">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3ECD82BE">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0BFE1A1D">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71444C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4.无正当理由大量反复申请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97E3CEE">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20059D5">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D50977C">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A43689A">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7FBC648">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9E13249">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C527293">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r>
      <w:tr w14:paraId="59F9354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780" w:hRule="atLeast"/>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22BE4BC9">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4DFE5912">
            <w:pPr>
              <w:rPr>
                <w:rFonts w:hint="eastAsia" w:ascii="宋体"/>
                <w:sz w:val="24"/>
                <w:szCs w:val="24"/>
              </w:rPr>
            </w:pPr>
          </w:p>
        </w:tc>
        <w:tc>
          <w:tcPr>
            <w:tcW w:w="3205"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021A3F9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sz w:val="19"/>
                <w:szCs w:val="19"/>
              </w:rPr>
              <w:t>5.要求行政机关确认或重新出具已获取信息</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220C851C">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1B9F7C0A">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703211BA">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278E8E8B">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14A5F8AE">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7664EAAF">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0CAD64D6">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r>
      <w:tr w14:paraId="7FD119B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5354E5E8">
            <w:pPr>
              <w:rPr>
                <w:rFonts w:hint="eastAsia" w:ascii="宋体"/>
                <w:sz w:val="24"/>
                <w:szCs w:val="24"/>
              </w:rPr>
            </w:pPr>
          </w:p>
        </w:tc>
        <w:tc>
          <w:tcPr>
            <w:tcW w:w="941" w:type="dxa"/>
            <w:vMerge w:val="restart"/>
            <w:tcBorders>
              <w:top w:val="outset"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14:paraId="2CF2181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（六）其他处理</w:t>
            </w: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06D606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sz w:val="19"/>
                <w:szCs w:val="19"/>
              </w:rPr>
              <w:t>1.申请人无正当理由逾期不补正、行政机关不再处理其政府信息公开申请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370473F">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5F65DD7">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AFAA3CB">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A9A0046">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0B1343A">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CDCC025">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9B2A91D">
            <w:pPr>
              <w:keepNext w:val="0"/>
              <w:keepLines w:val="0"/>
              <w:widowControl/>
              <w:suppressLineNumbers w:val="0"/>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lang w:val="en-US" w:eastAsia="zh-CN"/>
              </w:rPr>
              <w:t>0</w:t>
            </w:r>
          </w:p>
        </w:tc>
      </w:tr>
      <w:tr w14:paraId="2273D67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4090F2B5">
            <w:pPr>
              <w:rPr>
                <w:rFonts w:hint="eastAsia" w:ascii="宋体"/>
                <w:sz w:val="24"/>
                <w:szCs w:val="24"/>
              </w:rPr>
            </w:pPr>
          </w:p>
        </w:tc>
        <w:tc>
          <w:tcPr>
            <w:tcW w:w="941" w:type="dxa"/>
            <w:vMerge w:val="continue"/>
            <w:tcBorders>
              <w:top w:val="outset"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14:paraId="0709220C">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73F038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sz w:val="19"/>
                <w:szCs w:val="19"/>
              </w:rPr>
              <w:t>2.申请人逾期未按收费通知要求缴纳费用、行政机关不再处理其政府信息公开申请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C320B6F">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326936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3FAEE11">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1F466C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50AC3E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3FBD43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E4C149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605E829F">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6B92F612">
            <w:pPr>
              <w:rPr>
                <w:rFonts w:hint="eastAsia" w:ascii="宋体"/>
                <w:sz w:val="24"/>
                <w:szCs w:val="24"/>
              </w:rPr>
            </w:pPr>
          </w:p>
        </w:tc>
        <w:tc>
          <w:tcPr>
            <w:tcW w:w="941" w:type="dxa"/>
            <w:vMerge w:val="continue"/>
            <w:tcBorders>
              <w:top w:val="outset"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14:paraId="3C0BF6B0">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889906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3.其他</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DDFE35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921ADA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E9E40D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87BB69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8156E3F">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9D2D23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19CA16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3F583EDC">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3AEFA2AE">
            <w:pPr>
              <w:rPr>
                <w:rFonts w:hint="eastAsia" w:ascii="宋体"/>
                <w:sz w:val="24"/>
                <w:szCs w:val="24"/>
              </w:rPr>
            </w:pPr>
          </w:p>
        </w:tc>
        <w:tc>
          <w:tcPr>
            <w:tcW w:w="4146"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81E2E1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（七）总计</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53614DB">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eastAsiaTheme="minor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70CAC3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5409A9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1B9682C">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17CF49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F9E45F6">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5024AD5">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eastAsiaTheme="minorEastAsia"/>
                <w:lang w:val="en-US" w:eastAsia="zh-CN"/>
              </w:rPr>
              <w:t>0</w:t>
            </w:r>
          </w:p>
        </w:tc>
      </w:tr>
      <w:tr w14:paraId="7E5511A0">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40A605A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四、结转下年度继续办理</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364636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A67CDB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64DD72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658D1C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B1A108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EAE7E0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BF225F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bl>
    <w:p w14:paraId="30E8A31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tLeast"/>
        <w:ind w:right="0" w:firstLine="640" w:firstLineChars="200"/>
        <w:jc w:val="both"/>
        <w:rPr>
          <w:rFonts w:hint="eastAsia" w:ascii="宋体" w:hAnsi="宋体" w:eastAsia="宋体" w:cs="宋体"/>
        </w:rPr>
      </w:pPr>
      <w:r>
        <w:rPr>
          <w:rFonts w:hint="eastAsia" w:ascii="黑体" w:hAnsi="黑体" w:eastAsia="黑体" w:cs="黑体"/>
          <w:b w:val="0"/>
          <w:bCs/>
          <w:i w:val="0"/>
          <w:caps w:val="0"/>
          <w:color w:val="333333"/>
          <w:spacing w:val="0"/>
          <w:sz w:val="32"/>
          <w:szCs w:val="32"/>
        </w:rPr>
        <w:t>四、政府信息公开行政复议、行政诉讼情况</w:t>
      </w:r>
    </w:p>
    <w:p w14:paraId="48EA3CB3">
      <w:pPr>
        <w:keepNext w:val="0"/>
        <w:keepLines w:val="0"/>
        <w:widowControl/>
        <w:suppressLineNumbers w:val="0"/>
        <w:jc w:val="left"/>
      </w:pPr>
    </w:p>
    <w:tbl>
      <w:tblPr>
        <w:tblStyle w:val="6"/>
        <w:tblW w:w="975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50"/>
        <w:gridCol w:w="650"/>
        <w:gridCol w:w="650"/>
        <w:gridCol w:w="650"/>
        <w:gridCol w:w="650"/>
        <w:gridCol w:w="650"/>
        <w:gridCol w:w="650"/>
        <w:gridCol w:w="650"/>
        <w:gridCol w:w="650"/>
        <w:gridCol w:w="650"/>
        <w:gridCol w:w="650"/>
        <w:gridCol w:w="650"/>
        <w:gridCol w:w="650"/>
        <w:gridCol w:w="650"/>
        <w:gridCol w:w="650"/>
      </w:tblGrid>
      <w:tr w14:paraId="665E833A">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3210"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7381D45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行政复议</w:t>
            </w:r>
          </w:p>
        </w:tc>
        <w:tc>
          <w:tcPr>
            <w:tcW w:w="6435" w:type="dxa"/>
            <w:gridSpan w:val="10"/>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31B793A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行政诉讼</w:t>
            </w:r>
          </w:p>
        </w:tc>
      </w:tr>
      <w:tr w14:paraId="21DE22D6">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645"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5839827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结果维持</w:t>
            </w:r>
          </w:p>
        </w:tc>
        <w:tc>
          <w:tcPr>
            <w:tcW w:w="645"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62EB1C7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结果</w:t>
            </w:r>
            <w:r>
              <w:rPr>
                <w:rFonts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纠正</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3AB2123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其他</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结果</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25583AB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尚未</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审结</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4115377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总计</w:t>
            </w:r>
          </w:p>
        </w:tc>
        <w:tc>
          <w:tcPr>
            <w:tcW w:w="3210"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2EECE21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未经复议直接起诉</w:t>
            </w:r>
          </w:p>
        </w:tc>
        <w:tc>
          <w:tcPr>
            <w:tcW w:w="3210"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2709555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复议后起诉</w:t>
            </w:r>
          </w:p>
        </w:tc>
      </w:tr>
      <w:tr w14:paraId="1C2D4049">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645"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176F1C9D">
            <w:pPr>
              <w:jc w:val="left"/>
              <w:rPr>
                <w:rFonts w:hint="eastAsia" w:ascii="微软雅黑" w:hAnsi="微软雅黑" w:eastAsia="微软雅黑" w:cs="微软雅黑"/>
                <w:i w:val="0"/>
                <w:iCs w:val="0"/>
                <w:caps w:val="0"/>
                <w:color w:val="333333"/>
                <w:spacing w:val="0"/>
                <w:sz w:val="18"/>
                <w:szCs w:val="18"/>
              </w:rPr>
            </w:pPr>
          </w:p>
        </w:tc>
        <w:tc>
          <w:tcPr>
            <w:tcW w:w="645"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75858571">
            <w:pPr>
              <w:jc w:val="left"/>
              <w:rPr>
                <w:rFonts w:hint="eastAsia" w:ascii="微软雅黑" w:hAnsi="微软雅黑" w:eastAsia="微软雅黑" w:cs="微软雅黑"/>
                <w:i w:val="0"/>
                <w:iCs w:val="0"/>
                <w:caps w:val="0"/>
                <w:color w:val="333333"/>
                <w:spacing w:val="0"/>
                <w:sz w:val="18"/>
                <w:szCs w:val="18"/>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780D4684">
            <w:pPr>
              <w:jc w:val="left"/>
              <w:rPr>
                <w:rFonts w:hint="eastAsia" w:ascii="微软雅黑" w:hAnsi="微软雅黑" w:eastAsia="微软雅黑" w:cs="微软雅黑"/>
                <w:i w:val="0"/>
                <w:iCs w:val="0"/>
                <w:caps w:val="0"/>
                <w:color w:val="333333"/>
                <w:spacing w:val="0"/>
                <w:sz w:val="18"/>
                <w:szCs w:val="18"/>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4658D9DF">
            <w:pPr>
              <w:jc w:val="left"/>
              <w:rPr>
                <w:rFonts w:hint="eastAsia" w:ascii="微软雅黑" w:hAnsi="微软雅黑" w:eastAsia="微软雅黑" w:cs="微软雅黑"/>
                <w:i w:val="0"/>
                <w:iCs w:val="0"/>
                <w:caps w:val="0"/>
                <w:color w:val="333333"/>
                <w:spacing w:val="0"/>
                <w:sz w:val="18"/>
                <w:szCs w:val="18"/>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2C9A82D8">
            <w:pPr>
              <w:jc w:val="left"/>
              <w:rPr>
                <w:rFonts w:hint="eastAsia" w:ascii="微软雅黑" w:hAnsi="微软雅黑" w:eastAsia="微软雅黑" w:cs="微软雅黑"/>
                <w:i w:val="0"/>
                <w:iCs w:val="0"/>
                <w:caps w:val="0"/>
                <w:color w:val="333333"/>
                <w:spacing w:val="0"/>
                <w:sz w:val="18"/>
                <w:szCs w:val="18"/>
              </w:rPr>
            </w:pP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2671DDD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结果</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维持</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201D5D6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结果</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纠正</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7C25D24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其他</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结果</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76A59A8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尚未</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审结</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640D840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000000"/>
                <w:spacing w:val="0"/>
                <w:sz w:val="19"/>
                <w:szCs w:val="19"/>
              </w:rPr>
              <w:t>总计</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62C8D5C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结果</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维持</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27A3C59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结果</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纠正</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150D17D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000000"/>
                <w:spacing w:val="0"/>
                <w:sz w:val="19"/>
                <w:szCs w:val="19"/>
              </w:rPr>
              <w:t>其他</w:t>
            </w:r>
            <w:r>
              <w:rPr>
                <w:rFonts w:hint="eastAsia" w:ascii="微软雅黑" w:hAnsi="微软雅黑" w:eastAsia="微软雅黑" w:cs="微软雅黑"/>
                <w:i w:val="0"/>
                <w:iCs w:val="0"/>
                <w:caps w:val="0"/>
                <w:color w:val="000000"/>
                <w:spacing w:val="0"/>
                <w:sz w:val="19"/>
                <w:szCs w:val="19"/>
              </w:rPr>
              <w:br w:type="textWrapping"/>
            </w:r>
            <w:r>
              <w:rPr>
                <w:rFonts w:hint="eastAsia" w:ascii="宋体" w:hAnsi="宋体" w:eastAsia="宋体" w:cs="宋体"/>
                <w:i w:val="0"/>
                <w:iCs w:val="0"/>
                <w:caps w:val="0"/>
                <w:color w:val="000000"/>
                <w:spacing w:val="0"/>
                <w:sz w:val="19"/>
                <w:szCs w:val="19"/>
              </w:rPr>
              <w:t>结果</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2CF676D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尚未</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审结</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432B001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000000"/>
                <w:spacing w:val="0"/>
                <w:sz w:val="19"/>
                <w:szCs w:val="19"/>
              </w:rPr>
              <w:t>总计</w:t>
            </w:r>
          </w:p>
        </w:tc>
      </w:tr>
      <w:tr w14:paraId="6DC87CAF">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6543077B">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7DB1AD3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20B60AC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0A7680E2">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4600CF55">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7634FF2A">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421F37FA">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7F18C615">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79877E0C">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63CAEF3C">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12B398A7">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4743329A">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616CB0C6">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660AB9BA">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431709D7">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r>
    </w:tbl>
    <w:p w14:paraId="138ABD2E">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240" w:lineRule="auto"/>
        <w:textAlignment w:val="baseline"/>
        <w:rPr>
          <w:rFonts w:ascii="黑体" w:hAnsi="黑体" w:eastAsia="黑体" w:cs="黑体"/>
          <w:spacing w:val="0"/>
          <w:sz w:val="32"/>
          <w:szCs w:val="32"/>
        </w:rPr>
      </w:pPr>
    </w:p>
    <w:p w14:paraId="279367D3">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color w:val="333333"/>
          <w:spacing w:val="0"/>
          <w:sz w:val="32"/>
          <w:szCs w:val="32"/>
          <w:lang w:eastAsia="zh-CN"/>
        </w:rPr>
      </w:pPr>
      <w:r>
        <w:rPr>
          <w:rFonts w:hint="eastAsia" w:ascii="黑体" w:hAnsi="黑体" w:eastAsia="黑体" w:cs="黑体"/>
          <w:b w:val="0"/>
          <w:bCs/>
          <w:i w:val="0"/>
          <w:caps w:val="0"/>
          <w:color w:val="333333"/>
          <w:spacing w:val="0"/>
          <w:sz w:val="32"/>
          <w:szCs w:val="32"/>
          <w:shd w:val="clear" w:fill="FFFFFF"/>
          <w:lang w:eastAsia="zh-CN"/>
        </w:rPr>
        <w:t>五、</w:t>
      </w:r>
      <w:r>
        <w:rPr>
          <w:rFonts w:hint="eastAsia" w:ascii="黑体" w:hAnsi="黑体" w:eastAsia="黑体" w:cs="黑体"/>
          <w:b w:val="0"/>
          <w:bCs/>
          <w:i w:val="0"/>
          <w:caps w:val="0"/>
          <w:color w:val="333333"/>
          <w:spacing w:val="0"/>
          <w:sz w:val="32"/>
          <w:szCs w:val="32"/>
          <w:shd w:val="clear" w:fill="FFFFFF"/>
        </w:rPr>
        <w:t>存在的主要问题及改进情况</w:t>
      </w:r>
    </w:p>
    <w:p w14:paraId="05FBB32E">
      <w:pPr>
        <w:keepNext w:val="0"/>
        <w:keepLines w:val="0"/>
        <w:pageBreakBefore w:val="0"/>
        <w:widowControl w:val="0"/>
        <w:kinsoku w:val="0"/>
        <w:wordWrap/>
        <w:overflowPunct/>
        <w:topLinePunct w:val="0"/>
        <w:autoSpaceDE w:val="0"/>
        <w:autoSpaceDN w:val="0"/>
        <w:bidi w:val="0"/>
        <w:adjustRightInd w:val="0"/>
        <w:snapToGrid w:val="0"/>
        <w:spacing w:line="600" w:lineRule="exact"/>
        <w:ind w:left="0" w:firstLine="640"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lang w:eastAsia="zh-CN"/>
        </w:rPr>
        <w:t>202</w:t>
      </w:r>
      <w:r>
        <w:rPr>
          <w:rFonts w:hint="eastAsia" w:ascii="仿宋_GB2312" w:hAnsi="仿宋_GB2312" w:eastAsia="仿宋_GB2312" w:cs="仿宋_GB2312"/>
          <w:spacing w:val="0"/>
          <w:sz w:val="32"/>
          <w:szCs w:val="32"/>
          <w:lang w:val="en-US" w:eastAsia="zh-CN"/>
        </w:rPr>
        <w:t>5</w:t>
      </w:r>
      <w:r>
        <w:rPr>
          <w:rFonts w:hint="eastAsia" w:ascii="仿宋_GB2312" w:hAnsi="仿宋_GB2312" w:eastAsia="仿宋_GB2312" w:cs="仿宋_GB2312"/>
          <w:spacing w:val="0"/>
          <w:sz w:val="32"/>
          <w:szCs w:val="32"/>
          <w:lang w:eastAsia="zh-CN"/>
        </w:rPr>
        <w:t>年我局在政务公开工作虽取得一定成效，还存在一些不足。</w:t>
      </w:r>
      <w:r>
        <w:rPr>
          <w:rFonts w:hint="eastAsia" w:ascii="楷体_GB2312" w:hAnsi="楷体_GB2312" w:eastAsia="楷体_GB2312" w:cs="楷体_GB2312"/>
          <w:b/>
          <w:bCs/>
          <w:spacing w:val="0"/>
          <w:sz w:val="32"/>
          <w:szCs w:val="32"/>
          <w:lang w:eastAsia="zh-CN"/>
        </w:rPr>
        <w:t>一是</w:t>
      </w:r>
      <w:r>
        <w:rPr>
          <w:rFonts w:hint="eastAsia" w:ascii="仿宋_GB2312" w:hAnsi="仿宋_GB2312" w:eastAsia="仿宋_GB2312" w:cs="仿宋_GB2312"/>
          <w:spacing w:val="0"/>
          <w:sz w:val="32"/>
          <w:szCs w:val="32"/>
          <w:lang w:eastAsia="zh-CN"/>
        </w:rPr>
        <w:t>重点领域信息公开深度不足，部分政策解读形式较为单一，通俗性、传播力有待提升；</w:t>
      </w:r>
      <w:r>
        <w:rPr>
          <w:rFonts w:hint="eastAsia" w:ascii="楷体_GB2312" w:hAnsi="楷体_GB2312" w:eastAsia="楷体_GB2312" w:cs="楷体_GB2312"/>
          <w:b/>
          <w:bCs/>
          <w:spacing w:val="0"/>
          <w:sz w:val="32"/>
          <w:szCs w:val="32"/>
          <w:lang w:eastAsia="zh-CN"/>
        </w:rPr>
        <w:t>二是</w:t>
      </w:r>
      <w:r>
        <w:rPr>
          <w:rFonts w:hint="eastAsia" w:ascii="仿宋_GB2312" w:hAnsi="仿宋_GB2312" w:eastAsia="仿宋_GB2312" w:cs="仿宋_GB2312"/>
          <w:spacing w:val="0"/>
          <w:sz w:val="32"/>
          <w:szCs w:val="32"/>
          <w:lang w:eastAsia="zh-CN"/>
        </w:rPr>
        <w:t>政务新媒体内容创新不足，与群众互动回应机制不够健全；</w:t>
      </w:r>
      <w:r>
        <w:rPr>
          <w:rFonts w:hint="eastAsia" w:ascii="楷体_GB2312" w:hAnsi="楷体_GB2312" w:eastAsia="楷体_GB2312" w:cs="楷体_GB2312"/>
          <w:b/>
          <w:bCs/>
          <w:spacing w:val="0"/>
          <w:sz w:val="32"/>
          <w:szCs w:val="32"/>
          <w:lang w:eastAsia="zh-CN"/>
        </w:rPr>
        <w:t>三是</w:t>
      </w:r>
      <w:r>
        <w:rPr>
          <w:rFonts w:hint="eastAsia" w:ascii="仿宋_GB2312" w:hAnsi="仿宋_GB2312" w:eastAsia="仿宋_GB2312" w:cs="仿宋_GB2312"/>
          <w:spacing w:val="0"/>
          <w:sz w:val="32"/>
          <w:szCs w:val="32"/>
          <w:lang w:eastAsia="zh-CN"/>
        </w:rPr>
        <w:t>信息动态管理机制不完善，个别信息更新不及时。</w:t>
      </w:r>
    </w:p>
    <w:p w14:paraId="3DF3E765">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lang w:eastAsia="zh-CN"/>
        </w:rPr>
        <w:t>下一步，我局将坚持问题导向，加快补齐短板弱项，重点做好</w:t>
      </w:r>
      <w:r>
        <w:rPr>
          <w:rFonts w:hint="eastAsia" w:ascii="仿宋_GB2312" w:hAnsi="仿宋_GB2312" w:eastAsia="仿宋_GB2312" w:cs="仿宋_GB2312"/>
          <w:spacing w:val="0"/>
          <w:sz w:val="32"/>
          <w:szCs w:val="32"/>
          <w:lang w:val="en-US" w:eastAsia="zh-CN"/>
        </w:rPr>
        <w:t>3方面工作，</w:t>
      </w:r>
      <w:r>
        <w:rPr>
          <w:rFonts w:hint="eastAsia" w:ascii="仿宋_GB2312" w:hAnsi="仿宋_GB2312" w:eastAsia="仿宋_GB2312" w:cs="仿宋_GB2312"/>
          <w:spacing w:val="0"/>
          <w:sz w:val="32"/>
          <w:szCs w:val="32"/>
          <w:lang w:eastAsia="zh-CN"/>
        </w:rPr>
        <w:t>推</w:t>
      </w:r>
      <w:bookmarkStart w:id="0" w:name="_GoBack"/>
      <w:bookmarkEnd w:id="0"/>
      <w:r>
        <w:rPr>
          <w:rFonts w:hint="eastAsia" w:ascii="仿宋_GB2312" w:hAnsi="仿宋_GB2312" w:eastAsia="仿宋_GB2312" w:cs="仿宋_GB2312"/>
          <w:spacing w:val="0"/>
          <w:sz w:val="32"/>
          <w:szCs w:val="32"/>
          <w:lang w:eastAsia="zh-CN"/>
        </w:rPr>
        <w:t>动政务公开工作高质量发展。</w:t>
      </w:r>
      <w:r>
        <w:rPr>
          <w:rFonts w:hint="eastAsia" w:ascii="楷体_GB2312" w:hAnsi="楷体_GB2312" w:eastAsia="楷体_GB2312" w:cs="楷体_GB2312"/>
          <w:b/>
          <w:bCs/>
          <w:spacing w:val="0"/>
          <w:sz w:val="32"/>
          <w:szCs w:val="32"/>
          <w:lang w:eastAsia="zh-CN"/>
        </w:rPr>
        <w:t>一是</w:t>
      </w:r>
      <w:r>
        <w:rPr>
          <w:rFonts w:hint="eastAsia" w:ascii="仿宋_GB2312" w:hAnsi="仿宋_GB2312" w:eastAsia="仿宋_GB2312" w:cs="仿宋_GB2312"/>
          <w:spacing w:val="0"/>
          <w:sz w:val="32"/>
          <w:szCs w:val="32"/>
          <w:lang w:eastAsia="zh-CN"/>
        </w:rPr>
        <w:t>丰富政策解读形式，采用图文解读、短视频、新闻发布等方式，增强政策传播效果。</w:t>
      </w:r>
      <w:r>
        <w:rPr>
          <w:rFonts w:hint="eastAsia" w:ascii="楷体_GB2312" w:hAnsi="楷体_GB2312" w:eastAsia="楷体_GB2312" w:cs="楷体_GB2312"/>
          <w:b/>
          <w:bCs/>
          <w:spacing w:val="0"/>
          <w:sz w:val="32"/>
          <w:szCs w:val="32"/>
          <w:lang w:eastAsia="zh-CN"/>
        </w:rPr>
        <w:t>二是</w:t>
      </w:r>
      <w:r>
        <w:rPr>
          <w:rFonts w:hint="eastAsia" w:ascii="仿宋_GB2312" w:hAnsi="仿宋_GB2312" w:eastAsia="仿宋_GB2312" w:cs="仿宋_GB2312"/>
          <w:spacing w:val="0"/>
          <w:sz w:val="32"/>
          <w:szCs w:val="32"/>
          <w:lang w:eastAsia="zh-CN"/>
        </w:rPr>
        <w:t>加强新媒体内容策划，增加民生服务类信息比重，完善留言反馈机制，提升互动实效。</w:t>
      </w:r>
      <w:r>
        <w:rPr>
          <w:rFonts w:hint="eastAsia" w:ascii="楷体_GB2312" w:hAnsi="楷体_GB2312" w:eastAsia="楷体_GB2312" w:cs="楷体_GB2312"/>
          <w:b/>
          <w:bCs/>
          <w:spacing w:val="0"/>
          <w:sz w:val="32"/>
          <w:szCs w:val="32"/>
          <w:lang w:eastAsia="zh-CN"/>
        </w:rPr>
        <w:t>三是</w:t>
      </w:r>
      <w:r>
        <w:rPr>
          <w:rFonts w:hint="eastAsia" w:ascii="仿宋_GB2312" w:hAnsi="仿宋_GB2312" w:eastAsia="仿宋_GB2312" w:cs="仿宋_GB2312"/>
          <w:spacing w:val="0"/>
          <w:sz w:val="32"/>
          <w:szCs w:val="32"/>
          <w:lang w:eastAsia="zh-CN"/>
        </w:rPr>
        <w:t>建立信息定期更新与清理机制，加强业务培训，压实审核责任，推进政务公开标准化、规范化建设。</w:t>
      </w:r>
    </w:p>
    <w:p w14:paraId="399D8BCC">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jc w:val="both"/>
        <w:textAlignment w:val="baseline"/>
        <w:rPr>
          <w:rFonts w:ascii="黑体" w:hAnsi="黑体" w:eastAsia="黑体" w:cs="黑体"/>
          <w:spacing w:val="0"/>
          <w:sz w:val="32"/>
          <w:szCs w:val="32"/>
        </w:rPr>
      </w:pPr>
      <w:r>
        <w:rPr>
          <w:rFonts w:ascii="黑体" w:hAnsi="黑体" w:eastAsia="黑体" w:cs="黑体"/>
          <w:color w:val="333333"/>
          <w:spacing w:val="0"/>
          <w:sz w:val="32"/>
          <w:szCs w:val="32"/>
        </w:rPr>
        <w:t>六、其他需要报告的事项</w:t>
      </w:r>
    </w:p>
    <w:p w14:paraId="5770BF6E">
      <w:pPr>
        <w:pStyle w:val="2"/>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jc w:val="both"/>
        <w:textAlignment w:val="baseline"/>
        <w:rPr>
          <w:spacing w:val="0"/>
          <w:sz w:val="32"/>
          <w:szCs w:val="32"/>
        </w:rPr>
      </w:pPr>
      <w:r>
        <w:rPr>
          <w:rFonts w:hint="eastAsia"/>
          <w:spacing w:val="0"/>
          <w:sz w:val="32"/>
          <w:szCs w:val="32"/>
        </w:rPr>
        <w:t>2025年度市</w:t>
      </w:r>
      <w:r>
        <w:rPr>
          <w:rFonts w:hint="eastAsia"/>
          <w:spacing w:val="0"/>
          <w:sz w:val="32"/>
          <w:szCs w:val="32"/>
          <w:lang w:eastAsia="zh-CN"/>
        </w:rPr>
        <w:t>文体广电和旅游</w:t>
      </w:r>
      <w:r>
        <w:rPr>
          <w:rFonts w:hint="eastAsia"/>
          <w:spacing w:val="0"/>
          <w:sz w:val="32"/>
          <w:szCs w:val="32"/>
        </w:rPr>
        <w:t>局未收取政府信息公开信息处理费。</w:t>
      </w:r>
    </w:p>
    <w:sectPr>
      <w:footerReference r:id="rId5" w:type="default"/>
      <w:pgSz w:w="11906" w:h="16839"/>
      <w:pgMar w:top="2098" w:right="1473" w:bottom="1984" w:left="1587" w:header="0" w:footer="850" w:gutter="0"/>
      <w:pgBorders>
        <w:top w:val="none" w:sz="0" w:space="0"/>
        <w:left w:val="none" w:sz="0" w:space="0"/>
        <w:bottom w:val="none" w:sz="0" w:space="0"/>
        <w:right w:val="none" w:sz="0" w:space="0"/>
      </w:pgBorders>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03BD402A-D56D-43F3-A636-5D9BA2872C11}"/>
  </w:font>
  <w:font w:name="黑体">
    <w:panose1 w:val="02010609060101010101"/>
    <w:charset w:val="86"/>
    <w:family w:val="auto"/>
    <w:pitch w:val="default"/>
    <w:sig w:usb0="800002BF" w:usb1="38CF7CFA" w:usb2="00000016" w:usb3="00000000" w:csb0="00040001" w:csb1="00000000"/>
    <w:embedRegular r:id="rId2" w:fontKey="{399EABF9-0D9E-405C-9E4E-304AC8573D3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AF6943BD-384A-4A62-BA5C-80CB6B3F6ECA}"/>
  </w:font>
  <w:font w:name="FangSong_GB2312">
    <w:altName w:val="仿宋"/>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embedRegular r:id="rId4" w:fontKey="{D73C1D1A-1DDE-4464-A73B-BB3FAE003572}"/>
  </w:font>
  <w:font w:name="方正小标宋简体">
    <w:panose1 w:val="02000000000000000000"/>
    <w:charset w:val="86"/>
    <w:family w:val="auto"/>
    <w:pitch w:val="default"/>
    <w:sig w:usb0="00000001" w:usb1="08000000" w:usb2="00000000" w:usb3="00000000" w:csb0="00040000" w:csb1="00000000"/>
    <w:embedRegular r:id="rId5" w:fontKey="{7F3F19BD-EB39-47E7-9A00-E25B9EE4C6DD}"/>
  </w:font>
  <w:font w:name="楷体_GB2312">
    <w:altName w:val="楷体"/>
    <w:panose1 w:val="02010609030101010101"/>
    <w:charset w:val="86"/>
    <w:family w:val="auto"/>
    <w:pitch w:val="default"/>
    <w:sig w:usb0="00000000" w:usb1="00000000" w:usb2="00000000" w:usb3="00000000" w:csb0="00040000" w:csb1="00000000"/>
    <w:embedRegular r:id="rId6" w:fontKey="{50CCD988-8A16-46D6-AE9B-89A384ABE948}"/>
  </w:font>
  <w:font w:name="楷体">
    <w:panose1 w:val="02010609060101010101"/>
    <w:charset w:val="86"/>
    <w:family w:val="auto"/>
    <w:pitch w:val="default"/>
    <w:sig w:usb0="800002BF" w:usb1="38CF7CFA" w:usb2="00000016" w:usb3="00000000" w:csb0="00040001" w:csb1="00000000"/>
    <w:embedRegular r:id="rId7" w:fontKey="{787142C1-4D24-49C5-847A-3BBBAC6EAE73}"/>
  </w:font>
  <w:font w:name="微软雅黑">
    <w:panose1 w:val="020B0503020204020204"/>
    <w:charset w:val="86"/>
    <w:family w:val="auto"/>
    <w:pitch w:val="default"/>
    <w:sig w:usb0="80000287" w:usb1="280F3C52" w:usb2="00000016" w:usb3="00000000" w:csb0="0004001F" w:csb1="00000000"/>
    <w:embedRegular r:id="rId8" w:fontKey="{A0D6757E-C544-4ED2-945A-F51E6FB503AF}"/>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AAB20">
    <w:pPr>
      <w:spacing w:line="233" w:lineRule="auto"/>
      <w:ind w:left="4070"/>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7600F0">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87600F0">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useAltKinsokuLineBreakRules/>
    <w:compatSetting w:name="compatibilityMode" w:uri="http://schemas.microsoft.com/office/word" w:val="14"/>
  </w:compat>
  <w:rsids>
    <w:rsidRoot w:val="00000000"/>
    <w:rsid w:val="104356A2"/>
    <w:rsid w:val="118B1649"/>
    <w:rsid w:val="1C7C05C4"/>
    <w:rsid w:val="2F5E5EF2"/>
    <w:rsid w:val="316D651E"/>
    <w:rsid w:val="38C06F36"/>
    <w:rsid w:val="47506C85"/>
    <w:rsid w:val="50024461"/>
    <w:rsid w:val="57D029D6"/>
    <w:rsid w:val="614E5CB6"/>
    <w:rsid w:val="6C1636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1015</Words>
  <Characters>1046</Characters>
  <TotalTime>4</TotalTime>
  <ScaleCrop>false</ScaleCrop>
  <LinksUpToDate>false</LinksUpToDate>
  <CharactersWithSpaces>1047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2025-02-21T16:52:00Z</dcterms:created>
  <dc:creator>C-4537</dc:creator>
  <cp:lastModifiedBy>紫赫</cp:lastModifiedBy>
  <dcterms:modified xsi:type="dcterms:W3CDTF">2026-01-05T06:20:58Z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2026-01-05T08:40:14Z</vt:filetime>
  </property>
  <property fmtid="{D5CDD505-2E9C-101B-9397-08002B2CF9AE}" pid="4" name="KSOTemplateDocerSaveRecord">
    <vt:lpwstr>eyJoZGlkIjoiYjNjMzIyNzIzMGEzMTQ1ZmI3ZjUzNGMxNDM3ZjM1YWQiLCJ1c2VySWQiOiIyOTg0MzkzNjUifQ==</vt:lpwstr>
  </property>
  <property fmtid="{D5CDD505-2E9C-101B-9397-08002B2CF9AE}" pid="5" name="KSOProductBuildVer">
    <vt:lpwstr>2052-12.1.0.24034</vt:lpwstr>
  </property>
  <property fmtid="{D5CDD505-2E9C-101B-9397-08002B2CF9AE}" pid="6" name="ICV">
    <vt:lpwstr>3B20823BBE964067A9B843959C5296CD_13</vt:lpwstr>
  </property>
</Properties>
</file>