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4D258">
      <w:pPr>
        <w:widowControl/>
        <w:spacing w:line="600" w:lineRule="exact"/>
        <w:jc w:val="center"/>
        <w:outlineLvl w:val="0"/>
        <w:rPr>
          <w:rFonts w:cs="宋体" w:asciiTheme="majorEastAsia" w:hAnsiTheme="majorEastAsia" w:eastAsiaTheme="majorEastAsia"/>
          <w:b/>
          <w:bCs/>
          <w:color w:val="000000"/>
          <w:kern w:val="36"/>
          <w:sz w:val="44"/>
          <w:szCs w:val="44"/>
        </w:rPr>
      </w:pPr>
    </w:p>
    <w:p w14:paraId="4F7087E6">
      <w:pPr>
        <w:widowControl/>
        <w:spacing w:line="600" w:lineRule="exact"/>
        <w:jc w:val="center"/>
        <w:outlineLvl w:val="0"/>
        <w:rPr>
          <w:rFonts w:hint="eastAsia"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牡丹江市水务局</w:t>
      </w:r>
    </w:p>
    <w:p w14:paraId="587CAD41">
      <w:pPr>
        <w:widowControl/>
        <w:spacing w:line="600" w:lineRule="exact"/>
        <w:jc w:val="center"/>
        <w:outlineLvl w:val="0"/>
        <w:rPr>
          <w:rFonts w:ascii="方正小标宋简体" w:hAnsi="方正小标宋简体" w:eastAsia="方正小标宋简体" w:cs="方正小标宋简体"/>
          <w:color w:val="000000"/>
          <w:kern w:val="36"/>
          <w:sz w:val="44"/>
          <w:szCs w:val="44"/>
        </w:rPr>
      </w:pPr>
      <w:r>
        <w:rPr>
          <w:rFonts w:hint="eastAsia" w:ascii="方正小标宋简体" w:hAnsi="方正小标宋简体" w:eastAsia="方正小标宋简体" w:cs="方正小标宋简体"/>
          <w:color w:val="000000"/>
          <w:kern w:val="36"/>
          <w:sz w:val="44"/>
          <w:szCs w:val="44"/>
        </w:rPr>
        <w:t>202</w:t>
      </w:r>
      <w:r>
        <w:rPr>
          <w:rFonts w:hint="eastAsia" w:ascii="方正小标宋简体" w:hAnsi="方正小标宋简体" w:eastAsia="方正小标宋简体" w:cs="方正小标宋简体"/>
          <w:color w:val="000000"/>
          <w:kern w:val="36"/>
          <w:sz w:val="44"/>
          <w:szCs w:val="44"/>
          <w:lang w:val="en-US" w:eastAsia="zh-CN"/>
        </w:rPr>
        <w:t>5</w:t>
      </w:r>
      <w:r>
        <w:rPr>
          <w:rFonts w:hint="eastAsia" w:ascii="方正小标宋简体" w:hAnsi="方正小标宋简体" w:eastAsia="方正小标宋简体" w:cs="方正小标宋简体"/>
          <w:color w:val="000000"/>
          <w:kern w:val="36"/>
          <w:sz w:val="44"/>
          <w:szCs w:val="44"/>
        </w:rPr>
        <w:t>年政府信息公开工作年度报告</w:t>
      </w:r>
    </w:p>
    <w:p w14:paraId="5A4D46D1">
      <w:pPr>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微软雅黑" w:hAnsi="微软雅黑" w:eastAsia="微软雅黑" w:cs="宋体"/>
          <w:color w:val="000000"/>
          <w:kern w:val="0"/>
          <w:sz w:val="32"/>
          <w:szCs w:val="32"/>
          <w:lang w:eastAsia="zh-CN"/>
        </w:rPr>
      </w:pPr>
      <w:bookmarkStart w:id="0" w:name="_GoBack"/>
      <w:bookmarkEnd w:id="0"/>
    </w:p>
    <w:p w14:paraId="05491F10">
      <w:pPr>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202</w:t>
      </w:r>
      <w:r>
        <w:rPr>
          <w:rFonts w:hint="eastAsia" w:ascii="楷体_GB2312" w:hAnsi="楷体_GB2312" w:eastAsia="楷体_GB2312" w:cs="楷体_GB2312"/>
          <w:b/>
          <w:bCs/>
          <w:sz w:val="32"/>
          <w:szCs w:val="32"/>
          <w:lang w:val="en-US" w:eastAsia="zh-CN"/>
        </w:rPr>
        <w:t>6</w:t>
      </w:r>
      <w:r>
        <w:rPr>
          <w:rFonts w:hint="eastAsia" w:ascii="楷体_GB2312" w:hAnsi="楷体_GB2312" w:eastAsia="楷体_GB2312" w:cs="楷体_GB2312"/>
          <w:b/>
          <w:bCs/>
          <w:sz w:val="32"/>
          <w:szCs w:val="32"/>
        </w:rPr>
        <w:t>年1月</w:t>
      </w:r>
      <w:r>
        <w:rPr>
          <w:rFonts w:hint="eastAsia" w:ascii="楷体_GB2312" w:hAnsi="楷体_GB2312" w:eastAsia="楷体_GB2312" w:cs="楷体_GB2312"/>
          <w:b/>
          <w:bCs/>
          <w:sz w:val="32"/>
          <w:szCs w:val="32"/>
          <w:lang w:val="en-US" w:eastAsia="zh-CN"/>
        </w:rPr>
        <w:t>4</w:t>
      </w:r>
      <w:r>
        <w:rPr>
          <w:rFonts w:hint="eastAsia" w:ascii="楷体_GB2312" w:hAnsi="楷体_GB2312" w:eastAsia="楷体_GB2312" w:cs="楷体_GB2312"/>
          <w:b/>
          <w:bCs/>
          <w:sz w:val="32"/>
          <w:szCs w:val="32"/>
        </w:rPr>
        <w:t>日</w:t>
      </w:r>
    </w:p>
    <w:p w14:paraId="1EC31089">
      <w:pPr>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楷体_GB2312" w:hAnsi="楷体_GB2312" w:eastAsia="楷体_GB2312" w:cs="楷体_GB2312"/>
          <w:b/>
          <w:bCs/>
          <w:sz w:val="32"/>
          <w:szCs w:val="32"/>
        </w:rPr>
      </w:pPr>
    </w:p>
    <w:p w14:paraId="009CE7A4">
      <w:pPr>
        <w:widowControl/>
        <w:spacing w:line="600" w:lineRule="exact"/>
        <w:ind w:firstLine="64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333333"/>
          <w:sz w:val="32"/>
          <w:szCs w:val="32"/>
          <w:shd w:val="clear" w:color="auto" w:fill="FFFFFF"/>
        </w:rPr>
        <w:t>根据《中华人民共和国政府信息公开条例》《国务院办公厅政府信息与政务公开办公室关于政府信息公开工作年度报告有关事项的通知》等文件规定和工作要求，现将牡丹江市水务局202</w:t>
      </w:r>
      <w:r>
        <w:rPr>
          <w:rFonts w:hint="eastAsia" w:ascii="仿宋_GB2312" w:hAnsi="仿宋_GB2312" w:eastAsia="仿宋_GB2312" w:cs="仿宋_GB2312"/>
          <w:color w:val="333333"/>
          <w:sz w:val="32"/>
          <w:szCs w:val="32"/>
          <w:shd w:val="clear" w:color="auto" w:fill="FFFFFF"/>
          <w:lang w:val="en-US" w:eastAsia="zh-CN"/>
        </w:rPr>
        <w:t>5</w:t>
      </w:r>
      <w:r>
        <w:rPr>
          <w:rFonts w:hint="eastAsia" w:ascii="仿宋_GB2312" w:hAnsi="仿宋_GB2312" w:eastAsia="仿宋_GB2312" w:cs="仿宋_GB2312"/>
          <w:color w:val="333333"/>
          <w:sz w:val="32"/>
          <w:szCs w:val="32"/>
          <w:shd w:val="clear" w:color="auto" w:fill="FFFFFF"/>
        </w:rPr>
        <w:t>年政府信息公开工作年度报告予以公开，本报告所列数据的统计时间自2025年1月1日至2025年12月31日。</w:t>
      </w:r>
    </w:p>
    <w:p w14:paraId="2EB71B56">
      <w:pPr>
        <w:widowControl/>
        <w:shd w:val="clear" w:color="auto" w:fill="FFFFFF"/>
        <w:spacing w:line="600" w:lineRule="exact"/>
        <w:ind w:firstLine="640"/>
        <w:rPr>
          <w:rFonts w:hint="eastAsia" w:ascii="仿宋_GB2312" w:hAnsi="仿宋_GB2312" w:eastAsia="仿宋_GB2312" w:cs="仿宋_GB2312"/>
          <w:color w:val="000000"/>
          <w:kern w:val="0"/>
          <w:sz w:val="32"/>
          <w:szCs w:val="32"/>
        </w:rPr>
      </w:pPr>
      <w:r>
        <w:rPr>
          <w:rFonts w:hint="eastAsia" w:ascii="黑体" w:hAnsi="黑体" w:eastAsia="黑体" w:cs="宋体"/>
          <w:color w:val="333333"/>
          <w:kern w:val="0"/>
          <w:sz w:val="32"/>
          <w:szCs w:val="32"/>
          <w:shd w:val="clear" w:color="auto" w:fill="FFFFFF"/>
        </w:rPr>
        <w:t>一、总体情况</w:t>
      </w:r>
    </w:p>
    <w:p w14:paraId="2B830A83">
      <w:pPr>
        <w:widowControl/>
        <w:spacing w:line="600" w:lineRule="exact"/>
        <w:ind w:firstLine="642"/>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2025年，市水务局深入贯彻市政府关于强化政府信息公开工作的各项部署，把政务公开作为推动水务事业发展和密切干群关系的重要抓手。切实履行公开职责，以公开促落实、以公开促规范、以公开促服务、以公开促实效，持续提升政务信息质量，推动政务公开工作再上新台阶。    </w:t>
      </w:r>
    </w:p>
    <w:p w14:paraId="0A50F7E8">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微软雅黑" w:eastAsia="仿宋_GB2312" w:cs="宋体"/>
          <w:color w:val="000000"/>
          <w:kern w:val="0"/>
          <w:sz w:val="32"/>
          <w:szCs w:val="32"/>
        </w:rPr>
      </w:pPr>
      <w:r>
        <w:rPr>
          <w:rFonts w:hint="eastAsia" w:ascii="楷体_GB2312" w:hAnsi="楷体_GB2312" w:eastAsia="楷体_GB2312" w:cs="楷体_GB2312"/>
          <w:b/>
          <w:bCs/>
          <w:color w:val="333333"/>
          <w:kern w:val="0"/>
          <w:sz w:val="32"/>
          <w:szCs w:val="32"/>
          <w:shd w:val="clear" w:color="auto" w:fill="FFFFFF"/>
          <w:lang w:eastAsia="zh-CN"/>
        </w:rPr>
        <w:t>（一）</w:t>
      </w:r>
      <w:r>
        <w:rPr>
          <w:rFonts w:hint="eastAsia" w:ascii="楷体_GB2312" w:hAnsi="楷体_GB2312" w:eastAsia="楷体_GB2312" w:cs="楷体_GB2312"/>
          <w:b/>
          <w:bCs/>
          <w:color w:val="333333"/>
          <w:kern w:val="0"/>
          <w:sz w:val="32"/>
          <w:szCs w:val="32"/>
          <w:shd w:val="clear" w:color="auto" w:fill="FFFFFF"/>
        </w:rPr>
        <w:t>主动公开</w:t>
      </w:r>
      <w:r>
        <w:rPr>
          <w:rFonts w:hint="eastAsia" w:ascii="楷体_GB2312" w:hAnsi="楷体_GB2312" w:eastAsia="楷体_GB2312" w:cs="楷体_GB2312"/>
          <w:b/>
          <w:bCs/>
          <w:color w:val="333333"/>
          <w:kern w:val="0"/>
          <w:sz w:val="32"/>
          <w:szCs w:val="32"/>
          <w:shd w:val="clear" w:color="auto" w:fill="FFFFFF"/>
          <w:lang w:eastAsia="zh-CN"/>
        </w:rPr>
        <w:t>政府信息</w:t>
      </w:r>
      <w:r>
        <w:rPr>
          <w:rFonts w:hint="eastAsia" w:ascii="楷体_GB2312" w:hAnsi="楷体_GB2312" w:eastAsia="楷体_GB2312" w:cs="楷体_GB2312"/>
          <w:b/>
          <w:bCs/>
          <w:color w:val="333333"/>
          <w:kern w:val="0"/>
          <w:sz w:val="32"/>
          <w:szCs w:val="32"/>
          <w:shd w:val="clear" w:color="auto" w:fill="FFFFFF"/>
        </w:rPr>
        <w:t>情况</w:t>
      </w:r>
    </w:p>
    <w:p w14:paraId="6D551D5E">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截至2025年12月31日，我局通过政府门户网站累计发布信息20条，</w:t>
      </w:r>
      <w:r>
        <w:rPr>
          <w:rFonts w:hint="eastAsia" w:ascii="仿宋_GB2312" w:hAnsi="微软雅黑" w:eastAsia="仿宋_GB2312" w:cs="宋体"/>
          <w:color w:val="000000"/>
          <w:kern w:val="0"/>
          <w:sz w:val="32"/>
          <w:szCs w:val="32"/>
          <w:lang w:eastAsia="zh-CN"/>
        </w:rPr>
        <w:t>牡丹江市河道采砂管理责任人名单、</w:t>
      </w:r>
      <w:r>
        <w:rPr>
          <w:rFonts w:hint="eastAsia" w:ascii="仿宋_GB2312" w:hAnsi="微软雅黑" w:eastAsia="仿宋_GB2312" w:cs="宋体"/>
          <w:color w:val="000000"/>
          <w:kern w:val="0"/>
          <w:sz w:val="32"/>
          <w:szCs w:val="32"/>
          <w:lang w:val="en-US" w:eastAsia="zh-CN"/>
        </w:rPr>
        <w:t>全市小型水库大坝安全责任人和防汛责任人名单</w:t>
      </w:r>
      <w:r>
        <w:rPr>
          <w:rFonts w:hint="eastAsia" w:ascii="仿宋_GB2312" w:hAnsi="微软雅黑" w:eastAsia="仿宋_GB2312" w:cs="宋体"/>
          <w:color w:val="000000"/>
          <w:kern w:val="0"/>
          <w:sz w:val="32"/>
          <w:szCs w:val="32"/>
        </w:rPr>
        <w:t>、财政预决算等内容，充分保障群众对水务工作的知情权、参与权与监督权。</w:t>
      </w:r>
    </w:p>
    <w:p w14:paraId="0088EC58">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color w:val="333333"/>
          <w:kern w:val="0"/>
          <w:sz w:val="32"/>
          <w:szCs w:val="32"/>
          <w:shd w:val="clear" w:color="auto" w:fill="FFFFFF"/>
        </w:rPr>
      </w:pPr>
      <w:r>
        <w:rPr>
          <w:rFonts w:hint="eastAsia" w:ascii="楷体_GB2312" w:hAnsi="楷体_GB2312" w:eastAsia="楷体_GB2312" w:cs="楷体_GB2312"/>
          <w:b/>
          <w:bCs/>
          <w:color w:val="333333"/>
          <w:kern w:val="0"/>
          <w:sz w:val="32"/>
          <w:szCs w:val="32"/>
          <w:shd w:val="clear" w:color="auto" w:fill="FFFFFF"/>
          <w:lang w:eastAsia="zh-CN"/>
        </w:rPr>
        <w:t>（二）</w:t>
      </w:r>
      <w:r>
        <w:rPr>
          <w:rFonts w:hint="eastAsia" w:ascii="楷体_GB2312" w:hAnsi="楷体_GB2312" w:eastAsia="楷体_GB2312" w:cs="楷体_GB2312"/>
          <w:b/>
          <w:bCs/>
          <w:color w:val="333333"/>
          <w:kern w:val="0"/>
          <w:sz w:val="32"/>
          <w:szCs w:val="32"/>
          <w:shd w:val="clear" w:color="auto" w:fill="FFFFFF"/>
        </w:rPr>
        <w:t>依申请公开情况</w:t>
      </w:r>
    </w:p>
    <w:p w14:paraId="292C3A61">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ascii="仿宋_GB2312" w:hAnsi="Calibri" w:eastAsia="仿宋_GB2312" w:cs="宋体"/>
          <w:color w:val="000000"/>
          <w:kern w:val="0"/>
          <w:szCs w:val="21"/>
        </w:rPr>
      </w:pPr>
      <w:r>
        <w:rPr>
          <w:rFonts w:hint="eastAsia" w:ascii="仿宋_GB2312" w:hAnsi="仿宋_GB2312" w:eastAsia="仿宋_GB2312" w:cs="仿宋_GB2312"/>
          <w:color w:val="000000"/>
          <w:kern w:val="0"/>
          <w:sz w:val="32"/>
          <w:szCs w:val="32"/>
        </w:rPr>
        <w:t>2025年，市水务局着力提升依申请公开办理质量，准确执行各项规定，坚持“以公开为原则、不公开为例外”，更好回应群众需求。全年共受理政府信息公开申请</w:t>
      </w: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rPr>
        <w:t>件。</w:t>
      </w:r>
    </w:p>
    <w:p w14:paraId="4120DFF8">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00" w:lineRule="exact"/>
        <w:ind w:firstLine="643" w:firstLineChars="200"/>
        <w:textAlignment w:val="auto"/>
        <w:rPr>
          <w:rFonts w:hint="eastAsia" w:ascii="楷体_GB2312" w:hAnsi="楷体_GB2312" w:eastAsia="楷体_GB2312" w:cs="楷体_GB2312"/>
          <w:b/>
          <w:bCs/>
          <w:color w:val="333333"/>
          <w:kern w:val="0"/>
          <w:sz w:val="32"/>
          <w:szCs w:val="32"/>
          <w:shd w:val="clear" w:color="auto" w:fill="FFFFFF"/>
          <w:lang w:val="en-US" w:eastAsia="zh-CN" w:bidi="ar-SA"/>
        </w:rPr>
      </w:pPr>
      <w:r>
        <w:rPr>
          <w:rFonts w:hint="eastAsia" w:ascii="楷体_GB2312" w:hAnsi="楷体_GB2312" w:eastAsia="楷体_GB2312" w:cs="楷体_GB2312"/>
          <w:b/>
          <w:bCs/>
          <w:color w:val="333333"/>
          <w:kern w:val="0"/>
          <w:sz w:val="32"/>
          <w:szCs w:val="32"/>
          <w:shd w:val="clear" w:color="auto" w:fill="FFFFFF"/>
          <w:lang w:val="en-US" w:eastAsia="zh-CN" w:bidi="ar-SA"/>
        </w:rPr>
        <w:t>（三）政府信息管理情况。</w:t>
      </w:r>
    </w:p>
    <w:p w14:paraId="3A9E36EC">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以编制主动公开清单为切入点，全面摸清信息底数，严格按规公开。落实规范性文件公开及报送市政府公报程序，精准定位公开平台栏目，强化发布前审核、发布后更新及文件有效性管理。</w:t>
      </w:r>
    </w:p>
    <w:p w14:paraId="360FA1B4">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00" w:lineRule="exact"/>
        <w:ind w:firstLine="643" w:firstLineChars="200"/>
        <w:textAlignment w:val="auto"/>
        <w:rPr>
          <w:rFonts w:hint="eastAsia" w:ascii="楷体_GB2312" w:hAnsi="楷体_GB2312" w:eastAsia="楷体_GB2312" w:cs="楷体_GB2312"/>
          <w:b/>
          <w:bCs/>
          <w:color w:val="333333"/>
          <w:kern w:val="0"/>
          <w:sz w:val="32"/>
          <w:szCs w:val="32"/>
          <w:shd w:val="clear" w:color="auto" w:fill="FFFFFF"/>
          <w:lang w:val="en-US" w:eastAsia="zh-CN" w:bidi="ar-SA"/>
        </w:rPr>
      </w:pPr>
      <w:r>
        <w:rPr>
          <w:rFonts w:hint="eastAsia" w:ascii="楷体_GB2312" w:hAnsi="楷体_GB2312" w:eastAsia="楷体_GB2312" w:cs="楷体_GB2312"/>
          <w:b/>
          <w:bCs/>
          <w:color w:val="333333"/>
          <w:kern w:val="0"/>
          <w:sz w:val="32"/>
          <w:szCs w:val="32"/>
          <w:shd w:val="clear" w:color="auto" w:fill="FFFFFF"/>
          <w:lang w:val="en-US" w:eastAsia="zh-CN" w:bidi="ar-SA"/>
        </w:rPr>
        <w:t>（四）政府信息公开平台建设情况。</w:t>
      </w:r>
    </w:p>
    <w:p w14:paraId="24BAC04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仿宋_GB2312" w:hAnsi="仿宋_GB2312" w:eastAsia="仿宋_GB2312" w:cs="仿宋_GB2312"/>
          <w:color w:val="333333"/>
          <w:sz w:val="32"/>
          <w:szCs w:val="32"/>
          <w:shd w:val="clear" w:color="auto" w:fill="FFFFFF"/>
          <w:lang w:bidi="ar"/>
        </w:rPr>
      </w:pPr>
      <w:r>
        <w:rPr>
          <w:rFonts w:hint="eastAsia" w:ascii="仿宋_GB2312" w:hAnsi="仿宋_GB2312" w:eastAsia="仿宋_GB2312" w:cs="仿宋_GB2312"/>
          <w:color w:val="333333"/>
          <w:sz w:val="32"/>
          <w:szCs w:val="32"/>
          <w:shd w:val="clear" w:color="auto" w:fill="FFFFFF"/>
        </w:rPr>
        <w:t>严格执行市本级政府网站信息公开专栏审核制度，落实“谁提供、谁审查，谁发布、谁审查，先审查、后发布”，坚决防止因信息发布不当造成负面影响。依托门户网站和微信公众号，主动公开社会关注、涉及公共利益的重大数据，方便公众监督，提升公开的针对性与实效性。</w:t>
      </w:r>
    </w:p>
    <w:p w14:paraId="78786393">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楷体_GB2312" w:hAnsi="楷体_GB2312" w:eastAsia="楷体_GB2312" w:cs="楷体_GB2312"/>
          <w:b/>
          <w:bCs/>
          <w:color w:val="333333"/>
          <w:kern w:val="0"/>
          <w:sz w:val="32"/>
          <w:szCs w:val="32"/>
          <w:shd w:val="clear" w:color="auto" w:fill="FFFFFF"/>
        </w:rPr>
      </w:pPr>
      <w:r>
        <w:rPr>
          <w:rFonts w:hint="eastAsia" w:ascii="楷体_GB2312" w:hAnsi="楷体_GB2312" w:eastAsia="楷体_GB2312" w:cs="楷体_GB2312"/>
          <w:b/>
          <w:bCs/>
          <w:color w:val="333333"/>
          <w:kern w:val="0"/>
          <w:sz w:val="32"/>
          <w:szCs w:val="32"/>
          <w:shd w:val="clear" w:color="auto" w:fill="FFFFFF"/>
          <w:lang w:eastAsia="zh-CN"/>
        </w:rPr>
        <w:t>（五）</w:t>
      </w:r>
      <w:r>
        <w:rPr>
          <w:rFonts w:hint="eastAsia" w:ascii="楷体_GB2312" w:hAnsi="楷体_GB2312" w:eastAsia="楷体_GB2312" w:cs="楷体_GB2312"/>
          <w:b/>
          <w:bCs/>
          <w:color w:val="333333"/>
          <w:kern w:val="0"/>
          <w:sz w:val="32"/>
          <w:szCs w:val="32"/>
          <w:shd w:val="clear" w:color="auto" w:fill="FFFFFF"/>
        </w:rPr>
        <w:t>监督保障情况。</w:t>
      </w:r>
    </w:p>
    <w:p w14:paraId="6F156A71">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结合水务实际，修订完善保密审查、主动公开、依申请公开、信息发布等制度。在发布流程上，严格落实审查机制，健全信息公开运行制度，及时更新指南目录，有效规范政府信息公开工作。</w:t>
      </w:r>
    </w:p>
    <w:p w14:paraId="50C5FE9C">
      <w:pPr>
        <w:spacing w:line="600" w:lineRule="exact"/>
        <w:ind w:firstLine="640" w:firstLineChars="200"/>
        <w:jc w:val="left"/>
        <w:rPr>
          <w:rFonts w:hint="eastAsia" w:ascii="黑体" w:hAnsi="黑体" w:eastAsia="黑体" w:cs="宋体"/>
          <w:color w:val="333333"/>
          <w:kern w:val="0"/>
          <w:sz w:val="32"/>
          <w:szCs w:val="32"/>
          <w:shd w:val="clear" w:color="auto" w:fill="FFFFFF"/>
        </w:rPr>
      </w:pPr>
      <w:r>
        <w:rPr>
          <w:rFonts w:hint="eastAsia" w:ascii="黑体" w:hAnsi="黑体" w:eastAsia="黑体" w:cs="宋体"/>
          <w:color w:val="333333"/>
          <w:kern w:val="0"/>
          <w:sz w:val="32"/>
          <w:szCs w:val="32"/>
          <w:shd w:val="clear" w:color="auto" w:fill="FFFFFF"/>
        </w:rPr>
        <w:t>二、主动公开政府信息情况</w:t>
      </w:r>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14:paraId="58F08985">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69AC4DE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第二十条第（一）项</w:t>
            </w:r>
          </w:p>
        </w:tc>
      </w:tr>
      <w:tr w14:paraId="293EA35F">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FFBDC1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198AE0C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本年制发件数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64F122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B67517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现行有效件数</w:t>
            </w:r>
          </w:p>
        </w:tc>
      </w:tr>
      <w:tr w14:paraId="78FF38D5">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5BDAD4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585C5AA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EBF883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4C587F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2CCB6EC6">
        <w:tblPrEx>
          <w:tblCellMar>
            <w:top w:w="0" w:type="dxa"/>
            <w:left w:w="0" w:type="dxa"/>
            <w:bottom w:w="0" w:type="dxa"/>
            <w:right w:w="0" w:type="dxa"/>
          </w:tblCellMar>
        </w:tblPrEx>
        <w:trPr>
          <w:trHeight w:val="495"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D17DDC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192E79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675F8DB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12A96B5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r>
      <w:tr w14:paraId="5DA2C1EC">
        <w:tblPrEx>
          <w:tblCellMar>
            <w:top w:w="0" w:type="dxa"/>
            <w:left w:w="0" w:type="dxa"/>
            <w:bottom w:w="0" w:type="dxa"/>
            <w:right w:w="0" w:type="dxa"/>
          </w:tblCellMar>
        </w:tblPrEx>
        <w:trPr>
          <w:trHeight w:val="579"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18E75C0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第二十条第（五）项</w:t>
            </w:r>
          </w:p>
        </w:tc>
      </w:tr>
      <w:tr w14:paraId="0D68D3CF">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F8690A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038BF2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本年处理决定数量</w:t>
            </w:r>
          </w:p>
        </w:tc>
      </w:tr>
      <w:tr w14:paraId="42A20B8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92D3D3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17BDC48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66</w:t>
            </w:r>
          </w:p>
        </w:tc>
      </w:tr>
      <w:tr w14:paraId="0F098A51">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5B756CF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第二十条第（六）项</w:t>
            </w:r>
          </w:p>
        </w:tc>
      </w:tr>
      <w:tr w14:paraId="7126A911">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A3A2C6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CBD827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本年处理决定数量</w:t>
            </w:r>
          </w:p>
        </w:tc>
      </w:tr>
      <w:tr w14:paraId="6638CCB5">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D9546C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6E4F63F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r>
      <w:tr w14:paraId="05C026A2">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943C42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AA4D75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3DD91152">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6AA363E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第二十条第（八）项</w:t>
            </w:r>
          </w:p>
        </w:tc>
      </w:tr>
      <w:tr w14:paraId="4D19898F">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891A6C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31717E2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本年收费金额（单位：万元）</w:t>
            </w:r>
          </w:p>
        </w:tc>
      </w:tr>
      <w:tr w14:paraId="244DD9D0">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40FFE2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18CA694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0</w:t>
            </w:r>
          </w:p>
        </w:tc>
      </w:tr>
    </w:tbl>
    <w:p w14:paraId="2975E9D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宋体"/>
          <w:color w:val="333333"/>
          <w:kern w:val="0"/>
          <w:sz w:val="32"/>
          <w:szCs w:val="32"/>
          <w:shd w:val="clear" w:color="auto" w:fill="FFFFFF"/>
        </w:rPr>
      </w:pPr>
      <w:r>
        <w:rPr>
          <w:rFonts w:hint="eastAsia" w:ascii="黑体" w:hAnsi="黑体" w:eastAsia="黑体" w:cs="宋体"/>
          <w:color w:val="333333"/>
          <w:kern w:val="0"/>
          <w:sz w:val="32"/>
          <w:szCs w:val="32"/>
          <w:shd w:val="clear" w:color="auto" w:fill="FFFFFF"/>
        </w:rPr>
        <w:t>三、收到和处理政府信息公开申请情况 </w:t>
      </w:r>
    </w:p>
    <w:tbl>
      <w:tblPr>
        <w:tblStyle w:val="7"/>
        <w:tblW w:w="9748" w:type="dxa"/>
        <w:jc w:val="center"/>
        <w:tblLayout w:type="autofit"/>
        <w:tblCellMar>
          <w:top w:w="0" w:type="dxa"/>
          <w:left w:w="0" w:type="dxa"/>
          <w:bottom w:w="0" w:type="dxa"/>
          <w:right w:w="0" w:type="dxa"/>
        </w:tblCellMar>
      </w:tblPr>
      <w:tblGrid>
        <w:gridCol w:w="768"/>
        <w:gridCol w:w="954"/>
        <w:gridCol w:w="3214"/>
        <w:gridCol w:w="687"/>
        <w:gridCol w:w="687"/>
        <w:gridCol w:w="687"/>
        <w:gridCol w:w="687"/>
        <w:gridCol w:w="687"/>
        <w:gridCol w:w="688"/>
        <w:gridCol w:w="689"/>
      </w:tblGrid>
      <w:tr w14:paraId="1A1CD570">
        <w:tblPrEx>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14:paraId="05CE702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9C663D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申请人情况</w:t>
            </w:r>
          </w:p>
        </w:tc>
      </w:tr>
      <w:tr w14:paraId="0DEB111F">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0A1AB53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14:paraId="40CEE93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4DABFE5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14:paraId="1405FEA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r>
      <w:tr w14:paraId="1342655E">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358D34D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single" w:color="auto" w:sz="8" w:space="0"/>
              <w:right w:val="single" w:color="auto" w:sz="8" w:space="0"/>
            </w:tcBorders>
            <w:vAlign w:val="center"/>
          </w:tcPr>
          <w:p w14:paraId="29496B2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117A48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商业</w:t>
            </w:r>
          </w:p>
          <w:p w14:paraId="1BB9A67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924D34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科研</w:t>
            </w:r>
          </w:p>
          <w:p w14:paraId="7AC7321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5CF6FA7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43C9516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4AA897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其他</w:t>
            </w:r>
          </w:p>
        </w:tc>
        <w:tc>
          <w:tcPr>
            <w:tcW w:w="0" w:type="auto"/>
            <w:vMerge w:val="continue"/>
            <w:tcBorders>
              <w:top w:val="single" w:color="auto" w:sz="8" w:space="0"/>
              <w:left w:val="nil"/>
              <w:bottom w:val="inset" w:color="auto" w:sz="8" w:space="0"/>
              <w:right w:val="single" w:color="auto" w:sz="8" w:space="0"/>
            </w:tcBorders>
            <w:vAlign w:val="center"/>
          </w:tcPr>
          <w:p w14:paraId="29583EC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r>
      <w:tr w14:paraId="4AA4BFE5">
        <w:tblPrEx>
          <w:tblCellMar>
            <w:top w:w="0" w:type="dxa"/>
            <w:left w:w="0" w:type="dxa"/>
            <w:bottom w:w="0" w:type="dxa"/>
            <w:right w:w="0" w:type="dxa"/>
          </w:tblCellMar>
        </w:tblPrEx>
        <w:trPr>
          <w:trHeight w:val="819" w:hRule="atLeast"/>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049EA8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3CDB91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569B5E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78F1C0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D5A30C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AD91C6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63981F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6565B6D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p>
        </w:tc>
      </w:tr>
      <w:tr w14:paraId="7E9BC0B1">
        <w:tblPrEx>
          <w:tblCellMar>
            <w:top w:w="0" w:type="dxa"/>
            <w:left w:w="0" w:type="dxa"/>
            <w:bottom w:w="0" w:type="dxa"/>
            <w:right w:w="0" w:type="dxa"/>
          </w:tblCellMar>
        </w:tblPrEx>
        <w:trPr>
          <w:trHeight w:val="722" w:hRule="atLeast"/>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BFEDFC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0B854A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4AD06E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481F14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99D3E6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3E1010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9BB57B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0DB13B7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224EA69C">
        <w:tblPrEx>
          <w:tblCellMar>
            <w:top w:w="0" w:type="dxa"/>
            <w:left w:w="0" w:type="dxa"/>
            <w:bottom w:w="0" w:type="dxa"/>
            <w:right w:w="0" w:type="dxa"/>
          </w:tblCellMar>
        </w:tblPrEx>
        <w:trPr>
          <w:trHeight w:val="751" w:hRule="atLeast"/>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14:paraId="2C5079B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4238E84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F0BEB3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51A431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F826B6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1503AE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B18047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F3E874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tcPr>
          <w:p w14:paraId="47DFF31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p>
        </w:tc>
      </w:tr>
      <w:tr w14:paraId="1A241D5F">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04D377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1499640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（二）部分公开（区分处理的，只计这一情形，不计其他情形）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361F2C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95EC8C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AAAC91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56BB5E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891F66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D3A2B1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69C7014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5F31B8BA">
        <w:tblPrEx>
          <w:tblCellMar>
            <w:top w:w="0" w:type="dxa"/>
            <w:left w:w="0" w:type="dxa"/>
            <w:bottom w:w="0" w:type="dxa"/>
            <w:right w:w="0" w:type="dxa"/>
          </w:tblCellMar>
        </w:tblPrEx>
        <w:trPr>
          <w:trHeight w:val="55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5708D6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0F0DD74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269441E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A87BC3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A1913A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346E43B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1723A6B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6ADD268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1FDB473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tcPr>
          <w:p w14:paraId="1791025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7FD4467D">
        <w:tblPrEx>
          <w:tblCellMar>
            <w:top w:w="0" w:type="dxa"/>
            <w:left w:w="0" w:type="dxa"/>
            <w:bottom w:w="0" w:type="dxa"/>
            <w:right w:w="0" w:type="dxa"/>
          </w:tblCellMar>
        </w:tblPrEx>
        <w:trPr>
          <w:trHeight w:val="553"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A0A0AA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0B6A89F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235A558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3D34DC3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645881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F43F6E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173EE29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5C7F051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54EA15A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342BFC9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0F8E13E0">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15B91D5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0B1C9B5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3661703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DEB9FC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2C532DC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2008FE8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5ADC6BB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5871526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1EA211A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4446671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71A62C7D">
        <w:tblPrEx>
          <w:tblCellMar>
            <w:top w:w="0" w:type="dxa"/>
            <w:left w:w="0" w:type="dxa"/>
            <w:bottom w:w="0" w:type="dxa"/>
            <w:right w:w="0" w:type="dxa"/>
          </w:tblCellMar>
        </w:tblPrEx>
        <w:trPr>
          <w:trHeight w:val="55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5717CF5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11EB9C3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5BF4A2C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572EBC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0916053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2C6ACD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95924A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2EBB9DB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2971321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7A96F01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081B1BD5">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19995A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27514A0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19CD98A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7E65BC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B9E5CE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EFFC76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68E06B9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D69C6A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07A5EC4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4B1DF72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09AB6FE9">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EFBB16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74725E3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52D93F0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C8AC78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7062D8B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71C01A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29D8301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69E5AB6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5A22A2D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353B75C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06830381">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12B6834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37419D2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42C5E34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308FA4C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50DF2F1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24C6A36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00287B5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68F1D2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14:paraId="44014D0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14:paraId="306ED8D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1D1B08FE">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34931A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02AD0F5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67E3BF4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A9DEE6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64C91E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DDB4CD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B80D45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90C3A6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2150DD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1334646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592CB9BF">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79EDDD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229F8CD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7E7F605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CD770E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C3B2B5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62AC8C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58FF20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A8F621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59952D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2A059F7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r>
      <w:tr w14:paraId="43443276">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8E5F79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6CB72CC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020911F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1DD607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01C2C6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1743D0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BEDBC6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5FD796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C6AB4A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68A321F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027069BD">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066FB4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7FCBD88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6EE78FE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71C89C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7A0ECE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F81673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12C8E7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5C99CB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E77FB1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4C991DC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5D124C28">
        <w:tblPrEx>
          <w:tblCellMar>
            <w:top w:w="0" w:type="dxa"/>
            <w:left w:w="0" w:type="dxa"/>
            <w:bottom w:w="0" w:type="dxa"/>
            <w:right w:w="0" w:type="dxa"/>
          </w:tblCellMar>
        </w:tblPrEx>
        <w:trPr>
          <w:trHeight w:val="46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8AFA29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230FA8C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529532E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27DB08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0C2725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72E6F7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F766D7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940696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2C26D9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34EA317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5CDBE55F">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113E8AA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291F499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3BFC636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DCE5C7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36126D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81C83E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C09848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679EE5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108242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7DAF13F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2425CD9B">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CED2F8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791A7B1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48288CA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D49C0A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EF2F42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997E79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261F7A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957ED1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994E53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073E9A1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593FDB58">
        <w:tblPrEx>
          <w:tblCellMar>
            <w:top w:w="0" w:type="dxa"/>
            <w:left w:w="0" w:type="dxa"/>
            <w:bottom w:w="0" w:type="dxa"/>
            <w:right w:w="0" w:type="dxa"/>
          </w:tblCellMar>
        </w:tblPrEx>
        <w:trPr>
          <w:trHeight w:val="38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2222F6D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7C6A934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14:paraId="222375E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B7C3DB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041346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9966D4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FE56A7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749BB6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4BCEC4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618C290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2AE5374C">
        <w:tblPrEx>
          <w:tblCellMar>
            <w:top w:w="0" w:type="dxa"/>
            <w:left w:w="0" w:type="dxa"/>
            <w:bottom w:w="0" w:type="dxa"/>
            <w:right w:w="0" w:type="dxa"/>
          </w:tblCellMar>
        </w:tblPrEx>
        <w:trPr>
          <w:trHeight w:val="548"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418576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0210FAD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14:paraId="629D890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5DAB6D7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27F3AA3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5933750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6C84EA0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7239D5C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14:paraId="251EF77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inset" w:color="auto" w:sz="8" w:space="0"/>
              <w:right w:val="single" w:color="auto" w:sz="8" w:space="0"/>
            </w:tcBorders>
            <w:tcMar>
              <w:top w:w="0" w:type="dxa"/>
              <w:left w:w="57" w:type="dxa"/>
              <w:bottom w:w="0" w:type="dxa"/>
              <w:right w:w="57" w:type="dxa"/>
            </w:tcMar>
            <w:vAlign w:val="center"/>
          </w:tcPr>
          <w:p w14:paraId="013CBDE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3CE0DEAB">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4A42C69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7A76E61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1E97A32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D2BE0F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F83C8D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CC6203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C542EF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B66FA6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F16445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3DF2752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709EA901">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6F96A6B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5B586FC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16D1110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956648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929E99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1F6338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4EEC2A2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D44BFE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D437FD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577827C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44E28164">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7C4B1A2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inset" w:color="auto" w:sz="8" w:space="0"/>
              <w:right w:val="single" w:color="auto" w:sz="8" w:space="0"/>
            </w:tcBorders>
            <w:vAlign w:val="center"/>
          </w:tcPr>
          <w:p w14:paraId="309E3BA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14:paraId="429D77C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9A8391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CDBFA7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616A59F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FECFFB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44AC4C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F1B2B9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6457334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r w14:paraId="3BABB51C">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47AED93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70F4726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1514E77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40B9FE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82C5EF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D53756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B9F230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17CFDD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3B7D1E6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p>
        </w:tc>
      </w:tr>
      <w:tr w14:paraId="177556B5">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A1D7F7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5222367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064F426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778D95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7AA76CB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2ECA35F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14:paraId="31453EE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14:paraId="71A29F4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bl>
    <w:p w14:paraId="340F767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宋体"/>
          <w:color w:val="333333"/>
          <w:kern w:val="0"/>
          <w:sz w:val="32"/>
          <w:szCs w:val="32"/>
          <w:shd w:val="clear" w:color="auto" w:fill="FFFFFF"/>
        </w:rPr>
      </w:pPr>
      <w:r>
        <w:rPr>
          <w:rFonts w:hint="eastAsia" w:ascii="黑体" w:hAnsi="黑体" w:eastAsia="黑体" w:cs="宋体"/>
          <w:color w:val="333333"/>
          <w:kern w:val="0"/>
          <w:sz w:val="32"/>
          <w:szCs w:val="32"/>
          <w:shd w:val="clear" w:color="auto" w:fill="FFFFFF"/>
        </w:rPr>
        <w:t>四、政府信息公开行政复议、行政诉讼情况 </w:t>
      </w:r>
    </w:p>
    <w:tbl>
      <w:tblPr>
        <w:tblStyle w:val="7"/>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D46CCB3">
        <w:tblPrEx>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3F7FB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行政复议</w:t>
            </w:r>
          </w:p>
        </w:tc>
        <w:tc>
          <w:tcPr>
            <w:tcW w:w="6503"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0331C6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行政诉讼</w:t>
            </w:r>
          </w:p>
        </w:tc>
      </w:tr>
      <w:tr w14:paraId="69B5E58E">
        <w:tblPrEx>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50BA6D">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结果维持</w:t>
            </w:r>
          </w:p>
        </w:tc>
        <w:tc>
          <w:tcPr>
            <w:tcW w:w="649"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394E89CC">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w:t>
            </w:r>
            <w:r>
              <w:rPr>
                <w:rFonts w:hint="eastAsia" w:ascii="仿宋" w:hAnsi="仿宋" w:eastAsia="仿宋" w:cs="仿宋"/>
                <w:sz w:val="28"/>
                <w:szCs w:val="28"/>
              </w:rPr>
              <w:br w:type="textWrapping"/>
            </w:r>
            <w:r>
              <w:rPr>
                <w:rFonts w:hint="eastAsia" w:ascii="仿宋" w:hAnsi="仿宋" w:eastAsia="仿宋" w:cs="仿宋"/>
                <w:sz w:val="28"/>
                <w:szCs w:val="28"/>
              </w:rPr>
              <w:t>纠正</w:t>
            </w:r>
          </w:p>
        </w:tc>
        <w:tc>
          <w:tcPr>
            <w:tcW w:w="649"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FF2CA8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其他</w:t>
            </w:r>
            <w:r>
              <w:rPr>
                <w:rFonts w:hint="eastAsia" w:ascii="仿宋" w:hAnsi="仿宋" w:eastAsia="仿宋" w:cs="仿宋"/>
                <w:sz w:val="28"/>
                <w:szCs w:val="28"/>
              </w:rPr>
              <w:br w:type="textWrapping"/>
            </w:r>
            <w:r>
              <w:rPr>
                <w:rFonts w:hint="eastAsia" w:ascii="仿宋" w:hAnsi="仿宋" w:eastAsia="仿宋" w:cs="仿宋"/>
                <w:sz w:val="28"/>
                <w:szCs w:val="28"/>
              </w:rPr>
              <w:t>结果</w:t>
            </w:r>
          </w:p>
        </w:tc>
        <w:tc>
          <w:tcPr>
            <w:tcW w:w="649"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DE1241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尚未</w:t>
            </w:r>
            <w:r>
              <w:rPr>
                <w:rFonts w:hint="eastAsia" w:ascii="仿宋" w:hAnsi="仿宋" w:eastAsia="仿宋" w:cs="仿宋"/>
                <w:sz w:val="28"/>
                <w:szCs w:val="28"/>
              </w:rPr>
              <w:br w:type="textWrapping"/>
            </w:r>
            <w:r>
              <w:rPr>
                <w:rFonts w:hint="eastAsia" w:ascii="仿宋" w:hAnsi="仿宋" w:eastAsia="仿宋" w:cs="仿宋"/>
                <w:sz w:val="28"/>
                <w:szCs w:val="28"/>
              </w:rPr>
              <w:t>审结</w:t>
            </w:r>
          </w:p>
        </w:tc>
        <w:tc>
          <w:tcPr>
            <w:tcW w:w="649"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0EA3855">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c>
          <w:tcPr>
            <w:tcW w:w="3248"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A0765A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未经复议直接起诉</w:t>
            </w:r>
          </w:p>
        </w:tc>
        <w:tc>
          <w:tcPr>
            <w:tcW w:w="325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8A1841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复议后起诉</w:t>
            </w:r>
          </w:p>
        </w:tc>
      </w:tr>
      <w:tr w14:paraId="118104DA">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7FF22C26">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nil"/>
              <w:left w:val="nil"/>
              <w:bottom w:val="single" w:color="auto" w:sz="8" w:space="0"/>
              <w:right w:val="single" w:color="auto" w:sz="8" w:space="0"/>
            </w:tcBorders>
            <w:vAlign w:val="center"/>
          </w:tcPr>
          <w:p w14:paraId="42FB692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single" w:color="auto" w:sz="8" w:space="0"/>
              <w:left w:val="nil"/>
              <w:bottom w:val="single" w:color="auto" w:sz="8" w:space="0"/>
              <w:right w:val="single" w:color="auto" w:sz="8" w:space="0"/>
            </w:tcBorders>
            <w:vAlign w:val="center"/>
          </w:tcPr>
          <w:p w14:paraId="2737548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single" w:color="auto" w:sz="8" w:space="0"/>
              <w:left w:val="nil"/>
              <w:bottom w:val="single" w:color="auto" w:sz="8" w:space="0"/>
              <w:right w:val="single" w:color="auto" w:sz="8" w:space="0"/>
            </w:tcBorders>
            <w:vAlign w:val="center"/>
          </w:tcPr>
          <w:p w14:paraId="0986389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0" w:type="auto"/>
            <w:vMerge w:val="continue"/>
            <w:tcBorders>
              <w:top w:val="single" w:color="auto" w:sz="8" w:space="0"/>
              <w:left w:val="nil"/>
              <w:bottom w:val="single" w:color="auto" w:sz="8" w:space="0"/>
              <w:right w:val="single" w:color="auto" w:sz="8" w:space="0"/>
            </w:tcBorders>
            <w:vAlign w:val="center"/>
          </w:tcPr>
          <w:p w14:paraId="6371F2E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199542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w:t>
            </w:r>
            <w:r>
              <w:rPr>
                <w:rFonts w:hint="eastAsia" w:ascii="仿宋" w:hAnsi="仿宋" w:eastAsia="仿宋" w:cs="仿宋"/>
                <w:sz w:val="28"/>
                <w:szCs w:val="28"/>
              </w:rPr>
              <w:br w:type="textWrapping"/>
            </w:r>
            <w:r>
              <w:rPr>
                <w:rFonts w:hint="eastAsia" w:ascii="仿宋" w:hAnsi="仿宋" w:eastAsia="仿宋" w:cs="仿宋"/>
                <w:sz w:val="28"/>
                <w:szCs w:val="28"/>
              </w:rPr>
              <w:t>维持</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8CBC2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w:t>
            </w:r>
            <w:r>
              <w:rPr>
                <w:rFonts w:hint="eastAsia" w:ascii="仿宋" w:hAnsi="仿宋" w:eastAsia="仿宋" w:cs="仿宋"/>
                <w:sz w:val="28"/>
                <w:szCs w:val="28"/>
              </w:rPr>
              <w:br w:type="textWrapping"/>
            </w:r>
            <w:r>
              <w:rPr>
                <w:rFonts w:hint="eastAsia" w:ascii="仿宋" w:hAnsi="仿宋" w:eastAsia="仿宋" w:cs="仿宋"/>
                <w:sz w:val="28"/>
                <w:szCs w:val="28"/>
              </w:rPr>
              <w:t>纠正</w:t>
            </w:r>
          </w:p>
        </w:tc>
        <w:tc>
          <w:tcPr>
            <w:tcW w:w="6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D1802B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其他</w:t>
            </w:r>
            <w:r>
              <w:rPr>
                <w:rFonts w:hint="eastAsia" w:ascii="仿宋" w:hAnsi="仿宋" w:eastAsia="仿宋" w:cs="仿宋"/>
                <w:sz w:val="28"/>
                <w:szCs w:val="28"/>
              </w:rPr>
              <w:br w:type="textWrapping"/>
            </w:r>
            <w:r>
              <w:rPr>
                <w:rFonts w:hint="eastAsia" w:ascii="仿宋" w:hAnsi="仿宋" w:eastAsia="仿宋" w:cs="仿宋"/>
                <w:sz w:val="28"/>
                <w:szCs w:val="28"/>
              </w:rPr>
              <w:t>结果</w:t>
            </w:r>
          </w:p>
        </w:tc>
        <w:tc>
          <w:tcPr>
            <w:tcW w:w="6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3224E14">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尚未</w:t>
            </w:r>
            <w:r>
              <w:rPr>
                <w:rFonts w:hint="eastAsia" w:ascii="仿宋" w:hAnsi="仿宋" w:eastAsia="仿宋" w:cs="仿宋"/>
                <w:sz w:val="28"/>
                <w:szCs w:val="28"/>
              </w:rPr>
              <w:br w:type="textWrapping"/>
            </w:r>
            <w:r>
              <w:rPr>
                <w:rFonts w:hint="eastAsia" w:ascii="仿宋" w:hAnsi="仿宋" w:eastAsia="仿宋" w:cs="仿宋"/>
                <w:sz w:val="28"/>
                <w:szCs w:val="28"/>
              </w:rPr>
              <w:t>审结</w:t>
            </w:r>
          </w:p>
        </w:tc>
        <w:tc>
          <w:tcPr>
            <w:tcW w:w="6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D9F859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c>
          <w:tcPr>
            <w:tcW w:w="65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FE8CA9E">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w:t>
            </w:r>
            <w:r>
              <w:rPr>
                <w:rFonts w:hint="eastAsia" w:ascii="仿宋" w:hAnsi="仿宋" w:eastAsia="仿宋" w:cs="仿宋"/>
                <w:sz w:val="28"/>
                <w:szCs w:val="28"/>
              </w:rPr>
              <w:br w:type="textWrapping"/>
            </w:r>
            <w:r>
              <w:rPr>
                <w:rFonts w:hint="eastAsia" w:ascii="仿宋" w:hAnsi="仿宋" w:eastAsia="仿宋" w:cs="仿宋"/>
                <w:sz w:val="28"/>
                <w:szCs w:val="28"/>
              </w:rPr>
              <w:t>维持</w:t>
            </w:r>
          </w:p>
        </w:tc>
        <w:tc>
          <w:tcPr>
            <w:tcW w:w="65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A104C6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结果</w:t>
            </w:r>
            <w:r>
              <w:rPr>
                <w:rFonts w:hint="eastAsia" w:ascii="仿宋" w:hAnsi="仿宋" w:eastAsia="仿宋" w:cs="仿宋"/>
                <w:sz w:val="28"/>
                <w:szCs w:val="28"/>
              </w:rPr>
              <w:br w:type="textWrapping"/>
            </w:r>
            <w:r>
              <w:rPr>
                <w:rFonts w:hint="eastAsia" w:ascii="仿宋" w:hAnsi="仿宋" w:eastAsia="仿宋" w:cs="仿宋"/>
                <w:sz w:val="28"/>
                <w:szCs w:val="28"/>
              </w:rPr>
              <w:t>纠正</w:t>
            </w:r>
          </w:p>
        </w:tc>
        <w:tc>
          <w:tcPr>
            <w:tcW w:w="65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6243257">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其他</w:t>
            </w:r>
            <w:r>
              <w:rPr>
                <w:rFonts w:hint="eastAsia" w:ascii="仿宋" w:hAnsi="仿宋" w:eastAsia="仿宋" w:cs="仿宋"/>
                <w:sz w:val="28"/>
                <w:szCs w:val="28"/>
              </w:rPr>
              <w:br w:type="textWrapping"/>
            </w:r>
            <w:r>
              <w:rPr>
                <w:rFonts w:hint="eastAsia" w:ascii="仿宋" w:hAnsi="仿宋" w:eastAsia="仿宋" w:cs="仿宋"/>
                <w:sz w:val="28"/>
                <w:szCs w:val="28"/>
              </w:rPr>
              <w:t>结果</w:t>
            </w:r>
          </w:p>
        </w:tc>
        <w:tc>
          <w:tcPr>
            <w:tcW w:w="65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540D0B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尚未</w:t>
            </w:r>
            <w:r>
              <w:rPr>
                <w:rFonts w:hint="eastAsia" w:ascii="仿宋" w:hAnsi="仿宋" w:eastAsia="仿宋" w:cs="仿宋"/>
                <w:sz w:val="28"/>
                <w:szCs w:val="28"/>
              </w:rPr>
              <w:br w:type="textWrapping"/>
            </w:r>
            <w:r>
              <w:rPr>
                <w:rFonts w:hint="eastAsia" w:ascii="仿宋" w:hAnsi="仿宋" w:eastAsia="仿宋" w:cs="仿宋"/>
                <w:sz w:val="28"/>
                <w:szCs w:val="28"/>
              </w:rPr>
              <w:t>审结</w:t>
            </w:r>
          </w:p>
        </w:tc>
        <w:tc>
          <w:tcPr>
            <w:tcW w:w="65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DA1C3A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r>
      <w:tr w14:paraId="14B919EC">
        <w:tblPrEx>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1C2EC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2B66E622">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13834E5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B8D75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8A5743">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DA12B61">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2DDD28">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0" w:type="dxa"/>
            <w:tcBorders>
              <w:top w:val="nil"/>
              <w:left w:val="nil"/>
              <w:bottom w:val="single" w:color="auto" w:sz="8" w:space="0"/>
              <w:right w:val="single" w:color="auto" w:sz="8" w:space="0"/>
            </w:tcBorders>
            <w:tcMar>
              <w:top w:w="0" w:type="dxa"/>
              <w:left w:w="108" w:type="dxa"/>
              <w:bottom w:w="0" w:type="dxa"/>
              <w:right w:w="108" w:type="dxa"/>
            </w:tcMar>
            <w:vAlign w:val="center"/>
          </w:tcPr>
          <w:p w14:paraId="72CDAE9A">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0" w:type="dxa"/>
            <w:tcBorders>
              <w:top w:val="nil"/>
              <w:left w:val="nil"/>
              <w:bottom w:val="single" w:color="auto" w:sz="8" w:space="0"/>
              <w:right w:val="single" w:color="auto" w:sz="8" w:space="0"/>
            </w:tcBorders>
            <w:tcMar>
              <w:top w:w="0" w:type="dxa"/>
              <w:left w:w="108" w:type="dxa"/>
              <w:bottom w:w="0" w:type="dxa"/>
              <w:right w:w="108" w:type="dxa"/>
            </w:tcMar>
            <w:vAlign w:val="center"/>
          </w:tcPr>
          <w:p w14:paraId="1677ECAF">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0" w:type="dxa"/>
            <w:tcBorders>
              <w:top w:val="nil"/>
              <w:left w:val="nil"/>
              <w:bottom w:val="single" w:color="auto" w:sz="8" w:space="0"/>
              <w:right w:val="single" w:color="auto" w:sz="8" w:space="0"/>
            </w:tcBorders>
            <w:tcMar>
              <w:top w:w="0" w:type="dxa"/>
              <w:left w:w="108" w:type="dxa"/>
              <w:bottom w:w="0" w:type="dxa"/>
              <w:right w:w="108" w:type="dxa"/>
            </w:tcMar>
            <w:vAlign w:val="center"/>
          </w:tcPr>
          <w:p w14:paraId="0CA15FB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1" w:type="dxa"/>
            <w:tcBorders>
              <w:top w:val="nil"/>
              <w:left w:val="nil"/>
              <w:bottom w:val="single" w:color="auto" w:sz="8" w:space="0"/>
              <w:right w:val="single" w:color="auto" w:sz="8" w:space="0"/>
            </w:tcBorders>
            <w:tcMar>
              <w:top w:w="0" w:type="dxa"/>
              <w:left w:w="108" w:type="dxa"/>
              <w:bottom w:w="0" w:type="dxa"/>
              <w:right w:w="108" w:type="dxa"/>
            </w:tcMar>
            <w:vAlign w:val="center"/>
          </w:tcPr>
          <w:p w14:paraId="79538F0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1" w:type="dxa"/>
            <w:tcBorders>
              <w:top w:val="nil"/>
              <w:left w:val="nil"/>
              <w:bottom w:val="single" w:color="auto" w:sz="8" w:space="0"/>
              <w:right w:val="single" w:color="auto" w:sz="8" w:space="0"/>
            </w:tcBorders>
            <w:tcMar>
              <w:top w:w="0" w:type="dxa"/>
              <w:left w:w="108" w:type="dxa"/>
              <w:bottom w:w="0" w:type="dxa"/>
              <w:right w:w="108" w:type="dxa"/>
            </w:tcMar>
            <w:vAlign w:val="center"/>
          </w:tcPr>
          <w:p w14:paraId="7A78A7D0">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1" w:type="dxa"/>
            <w:tcBorders>
              <w:top w:val="nil"/>
              <w:left w:val="nil"/>
              <w:bottom w:val="single" w:color="auto" w:sz="8" w:space="0"/>
              <w:right w:val="single" w:color="auto" w:sz="8" w:space="0"/>
            </w:tcBorders>
            <w:tcMar>
              <w:top w:w="0" w:type="dxa"/>
              <w:left w:w="108" w:type="dxa"/>
              <w:bottom w:w="0" w:type="dxa"/>
              <w:right w:w="108" w:type="dxa"/>
            </w:tcMar>
            <w:vAlign w:val="center"/>
          </w:tcPr>
          <w:p w14:paraId="2395576B">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1" w:type="dxa"/>
            <w:tcBorders>
              <w:top w:val="nil"/>
              <w:left w:val="nil"/>
              <w:bottom w:val="single" w:color="auto" w:sz="8" w:space="0"/>
              <w:right w:val="single" w:color="auto" w:sz="8" w:space="0"/>
            </w:tcBorders>
            <w:tcMar>
              <w:top w:w="0" w:type="dxa"/>
              <w:left w:w="108" w:type="dxa"/>
              <w:bottom w:w="0" w:type="dxa"/>
              <w:right w:w="108" w:type="dxa"/>
            </w:tcMar>
            <w:vAlign w:val="center"/>
          </w:tcPr>
          <w:p w14:paraId="20C44C5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c>
          <w:tcPr>
            <w:tcW w:w="651" w:type="dxa"/>
            <w:tcBorders>
              <w:top w:val="nil"/>
              <w:left w:val="nil"/>
              <w:bottom w:val="single" w:color="auto" w:sz="8" w:space="0"/>
              <w:right w:val="single" w:color="auto" w:sz="8" w:space="0"/>
            </w:tcBorders>
            <w:tcMar>
              <w:top w:w="0" w:type="dxa"/>
              <w:left w:w="108" w:type="dxa"/>
              <w:bottom w:w="0" w:type="dxa"/>
              <w:right w:w="108" w:type="dxa"/>
            </w:tcMar>
            <w:vAlign w:val="center"/>
          </w:tcPr>
          <w:p w14:paraId="47B3A789">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0</w:t>
            </w:r>
          </w:p>
        </w:tc>
      </w:tr>
    </w:tbl>
    <w:p w14:paraId="33CAAB63">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宋体"/>
          <w:color w:val="333333"/>
          <w:kern w:val="0"/>
          <w:sz w:val="32"/>
          <w:szCs w:val="32"/>
          <w:shd w:val="clear" w:color="auto" w:fill="FFFFFF"/>
        </w:rPr>
      </w:pPr>
      <w:r>
        <w:rPr>
          <w:rFonts w:hint="eastAsia" w:ascii="黑体" w:hAnsi="黑体" w:eastAsia="黑体" w:cs="宋体"/>
          <w:color w:val="333333"/>
          <w:kern w:val="0"/>
          <w:sz w:val="32"/>
          <w:szCs w:val="32"/>
          <w:shd w:val="clear" w:color="auto" w:fill="FFFFFF"/>
          <w:lang w:eastAsia="zh-CN"/>
        </w:rPr>
        <w:t>五、</w:t>
      </w:r>
      <w:r>
        <w:rPr>
          <w:rFonts w:hint="eastAsia" w:ascii="黑体" w:hAnsi="黑体" w:eastAsia="黑体" w:cs="宋体"/>
          <w:color w:val="333333"/>
          <w:kern w:val="0"/>
          <w:sz w:val="32"/>
          <w:szCs w:val="32"/>
          <w:shd w:val="clear" w:color="auto" w:fill="FFFFFF"/>
        </w:rPr>
        <w:t>存在的主要问题及改进情况</w:t>
      </w:r>
    </w:p>
    <w:p w14:paraId="49D00D41">
      <w:pPr>
        <w:widowControl/>
        <w:shd w:val="clear" w:color="auto" w:fill="FFFFFF"/>
        <w:spacing w:line="600" w:lineRule="exact"/>
        <w:ind w:firstLine="640" w:firstLineChars="2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在市政务公开办指导下，我局公开机制日趋完善，但仍存在短板：</w:t>
      </w:r>
      <w:r>
        <w:rPr>
          <w:rFonts w:hint="eastAsia" w:ascii="仿宋_GB2312" w:hAnsi="仿宋_GB2312" w:eastAsia="仿宋_GB2312" w:cs="仿宋_GB2312"/>
          <w:b/>
          <w:bCs/>
          <w:color w:val="333333"/>
          <w:sz w:val="32"/>
          <w:szCs w:val="32"/>
          <w:shd w:val="clear" w:color="auto" w:fill="FFFFFF"/>
        </w:rPr>
        <w:t>一是</w:t>
      </w:r>
      <w:r>
        <w:rPr>
          <w:rFonts w:hint="eastAsia" w:ascii="仿宋_GB2312" w:hAnsi="仿宋_GB2312" w:eastAsia="仿宋_GB2312" w:cs="仿宋_GB2312"/>
          <w:color w:val="333333"/>
          <w:sz w:val="32"/>
          <w:szCs w:val="32"/>
          <w:shd w:val="clear" w:color="auto" w:fill="FFFFFF"/>
        </w:rPr>
        <w:t>信息更新及时性仍需加强；</w:t>
      </w:r>
      <w:r>
        <w:rPr>
          <w:rFonts w:hint="eastAsia" w:ascii="仿宋_GB2312" w:hAnsi="仿宋_GB2312" w:eastAsia="仿宋_GB2312" w:cs="仿宋_GB2312"/>
          <w:b/>
          <w:bCs/>
          <w:color w:val="333333"/>
          <w:sz w:val="32"/>
          <w:szCs w:val="32"/>
          <w:shd w:val="clear" w:color="auto" w:fill="FFFFFF"/>
        </w:rPr>
        <w:t>二是</w:t>
      </w:r>
      <w:r>
        <w:rPr>
          <w:rFonts w:hint="eastAsia" w:ascii="仿宋_GB2312" w:hAnsi="仿宋_GB2312" w:eastAsia="仿宋_GB2312" w:cs="仿宋_GB2312"/>
          <w:color w:val="333333"/>
          <w:sz w:val="32"/>
          <w:szCs w:val="32"/>
          <w:shd w:val="clear" w:color="auto" w:fill="FFFFFF"/>
        </w:rPr>
        <w:t>创新意识不足，公开形式较为单一；</w:t>
      </w:r>
      <w:r>
        <w:rPr>
          <w:rFonts w:hint="eastAsia" w:ascii="仿宋_GB2312" w:hAnsi="仿宋_GB2312" w:eastAsia="仿宋_GB2312" w:cs="仿宋_GB2312"/>
          <w:b/>
          <w:bCs/>
          <w:color w:val="333333"/>
          <w:sz w:val="32"/>
          <w:szCs w:val="32"/>
          <w:shd w:val="clear" w:color="auto" w:fill="FFFFFF"/>
        </w:rPr>
        <w:t>三是</w:t>
      </w:r>
      <w:r>
        <w:rPr>
          <w:rFonts w:hint="eastAsia" w:ascii="仿宋_GB2312" w:hAnsi="仿宋_GB2312" w:eastAsia="仿宋_GB2312" w:cs="仿宋_GB2312"/>
          <w:color w:val="333333"/>
          <w:sz w:val="32"/>
          <w:szCs w:val="32"/>
          <w:shd w:val="clear" w:color="auto" w:fill="FFFFFF"/>
        </w:rPr>
        <w:t>覆盖面不广，便民程度有待提升。 </w:t>
      </w:r>
    </w:p>
    <w:p w14:paraId="628B3940">
      <w:pPr>
        <w:pStyle w:val="6"/>
        <w:shd w:val="clear" w:color="auto" w:fill="FFFFFF"/>
        <w:spacing w:before="0" w:beforeAutospacing="0" w:after="0" w:afterAutospacing="0" w:line="600" w:lineRule="exact"/>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　针对上述不足，我局将持续深入学习《条例》精神，大力推进政务公开法规落地，提升工作人员业务能力，增强政务透明度与依法行政水平。</w:t>
      </w:r>
      <w:r>
        <w:rPr>
          <w:rFonts w:hint="eastAsia" w:ascii="仿宋_GB2312" w:hAnsi="仿宋_GB2312" w:eastAsia="仿宋_GB2312" w:cs="仿宋_GB2312"/>
          <w:b/>
          <w:bCs/>
          <w:color w:val="333333"/>
          <w:sz w:val="32"/>
          <w:szCs w:val="32"/>
          <w:shd w:val="clear" w:color="auto" w:fill="FFFFFF"/>
        </w:rPr>
        <w:t>一是</w:t>
      </w:r>
      <w:r>
        <w:rPr>
          <w:rFonts w:hint="eastAsia" w:ascii="仿宋_GB2312" w:hAnsi="仿宋_GB2312" w:eastAsia="仿宋_GB2312" w:cs="仿宋_GB2312"/>
          <w:color w:val="333333"/>
          <w:sz w:val="32"/>
          <w:szCs w:val="32"/>
          <w:shd w:val="clear" w:color="auto" w:fill="FFFFFF"/>
        </w:rPr>
        <w:t>充分发挥平台作用，坚持“应公开尽公开”，丰富发布内容，保证更新频率，杜绝滞后，确保时效。</w:t>
      </w:r>
      <w:r>
        <w:rPr>
          <w:rFonts w:hint="eastAsia" w:ascii="仿宋_GB2312" w:hAnsi="仿宋_GB2312" w:eastAsia="仿宋_GB2312" w:cs="仿宋_GB2312"/>
          <w:b/>
          <w:bCs/>
          <w:color w:val="333333"/>
          <w:sz w:val="32"/>
          <w:szCs w:val="32"/>
          <w:shd w:val="clear" w:color="auto" w:fill="FFFFFF"/>
        </w:rPr>
        <w:t>二是</w:t>
      </w:r>
      <w:r>
        <w:rPr>
          <w:rFonts w:hint="eastAsia" w:ascii="仿宋_GB2312" w:hAnsi="仿宋_GB2312" w:eastAsia="仿宋_GB2312" w:cs="仿宋_GB2312"/>
          <w:color w:val="333333"/>
          <w:sz w:val="32"/>
          <w:szCs w:val="32"/>
          <w:shd w:val="clear" w:color="auto" w:fill="FFFFFF"/>
        </w:rPr>
        <w:t>强化创新意识，运用多元手段促进信息共享，提升公开质量与效率。</w:t>
      </w:r>
      <w:r>
        <w:rPr>
          <w:rFonts w:hint="eastAsia" w:ascii="仿宋_GB2312" w:hAnsi="仿宋_GB2312" w:eastAsia="仿宋_GB2312" w:cs="仿宋_GB2312"/>
          <w:b/>
          <w:bCs/>
          <w:color w:val="333333"/>
          <w:sz w:val="32"/>
          <w:szCs w:val="32"/>
          <w:shd w:val="clear" w:color="auto" w:fill="FFFFFF"/>
        </w:rPr>
        <w:t>三是</w:t>
      </w:r>
      <w:r>
        <w:rPr>
          <w:rFonts w:hint="eastAsia" w:ascii="仿宋_GB2312" w:hAnsi="仿宋_GB2312" w:eastAsia="仿宋_GB2312" w:cs="仿宋_GB2312"/>
          <w:color w:val="333333"/>
          <w:sz w:val="32"/>
          <w:szCs w:val="32"/>
          <w:shd w:val="clear" w:color="auto" w:fill="FFFFFF"/>
        </w:rPr>
        <w:t>围绕社会关切，持续做好重点领域信息公开，注重热点舆情回应，强化主动发声，使信息公开真正成为服务群众的便捷通道。</w:t>
      </w:r>
    </w:p>
    <w:p w14:paraId="3462AAB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宋体"/>
          <w:color w:val="333333"/>
          <w:kern w:val="0"/>
          <w:sz w:val="32"/>
          <w:szCs w:val="32"/>
          <w:shd w:val="clear" w:color="auto" w:fill="FFFFFF"/>
        </w:rPr>
      </w:pPr>
      <w:r>
        <w:rPr>
          <w:rFonts w:hint="eastAsia" w:ascii="黑体" w:hAnsi="黑体" w:eastAsia="黑体" w:cs="宋体"/>
          <w:color w:val="333333"/>
          <w:kern w:val="0"/>
          <w:sz w:val="32"/>
          <w:szCs w:val="32"/>
          <w:shd w:val="clear" w:color="auto" w:fill="FFFFFF"/>
        </w:rPr>
        <w:t>六、其他需要报告的事项</w:t>
      </w:r>
    </w:p>
    <w:p w14:paraId="6A3611B4">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仿宋" w:hAnsi="仿宋" w:eastAsia="仿宋" w:cs="仿宋"/>
          <w:b w:val="0"/>
          <w:bCs w:val="0"/>
          <w:color w:val="000000"/>
          <w:kern w:val="2"/>
          <w:sz w:val="32"/>
          <w:szCs w:val="32"/>
          <w:highlight w:val="none"/>
          <w:lang w:val="en-US" w:eastAsia="zh-CN" w:bidi="ar-SA"/>
        </w:rPr>
      </w:pPr>
      <w:r>
        <w:rPr>
          <w:rFonts w:hint="eastAsia" w:ascii="仿宋" w:hAnsi="仿宋" w:eastAsia="仿宋" w:cs="仿宋"/>
          <w:b w:val="0"/>
          <w:bCs w:val="0"/>
          <w:color w:val="000000"/>
          <w:kern w:val="2"/>
          <w:sz w:val="32"/>
          <w:szCs w:val="32"/>
          <w:highlight w:val="none"/>
          <w:lang w:val="en-US" w:eastAsia="zh-CN" w:bidi="ar-SA"/>
        </w:rPr>
        <w:t>2025年度市水务局未收取政府信息公开信息处理费。</w:t>
      </w:r>
    </w:p>
    <w:p w14:paraId="5F7D7D0C">
      <w:pPr>
        <w:spacing w:line="600" w:lineRule="exact"/>
        <w:rPr>
          <w:rFonts w:ascii="仿宋_GB2312" w:eastAsia="仿宋_GB2312"/>
          <w:sz w:val="32"/>
          <w:szCs w:val="32"/>
        </w:rPr>
      </w:pPr>
      <w:r>
        <w:rPr>
          <w:rFonts w:hint="eastAsia" w:ascii="仿宋_GB2312" w:eastAsia="仿宋_GB2312"/>
          <w:sz w:val="32"/>
          <w:szCs w:val="32"/>
        </w:rPr>
        <w:t xml:space="preserve">                  </w:t>
      </w:r>
    </w:p>
    <w:sectPr>
      <w:footerReference r:id="rId3" w:type="default"/>
      <w:pgSz w:w="11906" w:h="16838"/>
      <w:pgMar w:top="2098" w:right="1474" w:bottom="1984" w:left="1587" w:header="851" w:footer="850"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E442B">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8A7B4F">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8A7B4F">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AC7"/>
    <w:rsid w:val="00030FC7"/>
    <w:rsid w:val="00086BD1"/>
    <w:rsid w:val="00096274"/>
    <w:rsid w:val="001649E6"/>
    <w:rsid w:val="002137E0"/>
    <w:rsid w:val="0042690E"/>
    <w:rsid w:val="00673997"/>
    <w:rsid w:val="006E5219"/>
    <w:rsid w:val="006E7EAB"/>
    <w:rsid w:val="008A5FA2"/>
    <w:rsid w:val="009A7FE1"/>
    <w:rsid w:val="009F7AC7"/>
    <w:rsid w:val="00A72A93"/>
    <w:rsid w:val="00A84CCD"/>
    <w:rsid w:val="00AA4DF1"/>
    <w:rsid w:val="00B63D7A"/>
    <w:rsid w:val="00CC134A"/>
    <w:rsid w:val="00CE6984"/>
    <w:rsid w:val="00F75EE4"/>
    <w:rsid w:val="00FA3A25"/>
    <w:rsid w:val="00FF48C3"/>
    <w:rsid w:val="0FB33DCA"/>
    <w:rsid w:val="142E794E"/>
    <w:rsid w:val="189866C8"/>
    <w:rsid w:val="1A3029C7"/>
    <w:rsid w:val="1BBD624D"/>
    <w:rsid w:val="20832045"/>
    <w:rsid w:val="27252BF1"/>
    <w:rsid w:val="28166DBA"/>
    <w:rsid w:val="2A011ED8"/>
    <w:rsid w:val="49C442A5"/>
    <w:rsid w:val="4D153855"/>
    <w:rsid w:val="54F81264"/>
    <w:rsid w:val="5EBF3F02"/>
    <w:rsid w:val="607C0D31"/>
    <w:rsid w:val="6FE16655"/>
    <w:rsid w:val="75F63931"/>
    <w:rsid w:val="79AA0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qFormat/>
    <w:uiPriority w:val="99"/>
    <w:pPr>
      <w:ind w:left="100" w:leftChars="2500"/>
    </w:p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字符"/>
    <w:basedOn w:val="8"/>
    <w:link w:val="2"/>
    <w:qFormat/>
    <w:uiPriority w:val="9"/>
    <w:rPr>
      <w:rFonts w:ascii="宋体" w:hAnsi="宋体" w:eastAsia="宋体" w:cs="宋体"/>
      <w:b/>
      <w:bCs/>
      <w:kern w:val="36"/>
      <w:sz w:val="48"/>
      <w:szCs w:val="48"/>
    </w:rPr>
  </w:style>
  <w:style w:type="paragraph" w:customStyle="1" w:styleId="1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日期 字符"/>
    <w:basedOn w:val="8"/>
    <w:link w:val="3"/>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1020</Words>
  <Characters>1050</Characters>
  <Lines>18</Lines>
  <Paragraphs>5</Paragraphs>
  <TotalTime>0</TotalTime>
  <ScaleCrop>false</ScaleCrop>
  <LinksUpToDate>false</LinksUpToDate>
  <CharactersWithSpaces>1055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2025-12-29T06:45:00Z</dcterms:created>
  <dc:creator>Administrator</dc:creator>
  <cp:lastModifiedBy>刘鑫</cp:lastModifiedBy>
  <cp:lastPrinted>2026-01-04T07:24:00Z</cp:lastPrinted>
  <dcterms:modified xsi:type="dcterms:W3CDTF">2026-01-04T07:50:34Z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279233B1BC0C42ADBC17E3E2B88158F6_13</vt:lpwstr>
  </property>
  <property fmtid="{D5CDD505-2E9C-101B-9397-08002B2CF9AE}" pid="4" name="KSOTemplateDocerSaveRecord">
    <vt:lpwstr>eyJoZGlkIjoiNDE0MDI0MWNjZGI2YjJiNTA4ZDg1ODQyMDg1ZmNmNzciLCJ1c2VySWQiOiI2NjI1MjQzODcifQ==</vt:lpwstr>
  </property>
</Properties>
</file>