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8" w:line="224" w:lineRule="auto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1"/>
          <w:sz w:val="32"/>
          <w:szCs w:val="32"/>
        </w:rPr>
        <w:t>附件</w:t>
      </w:r>
    </w:p>
    <w:p>
      <w:pPr>
        <w:spacing w:before="167" w:line="212" w:lineRule="auto"/>
        <w:ind w:left="2135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  <w:lang w:val="en-US" w:eastAsia="zh-CN"/>
        </w:rPr>
        <w:t>牡丹江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</w:rPr>
        <w:t>市残疾预防主要指标</w:t>
      </w:r>
    </w:p>
    <w:bookmarkEnd w:id="0"/>
    <w:tbl>
      <w:tblPr>
        <w:tblStyle w:val="2"/>
        <w:tblW w:w="92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493"/>
        <w:gridCol w:w="4548"/>
        <w:gridCol w:w="1390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tblHeader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领域</w:t>
            </w:r>
          </w:p>
        </w:tc>
        <w:tc>
          <w:tcPr>
            <w:tcW w:w="5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指       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2020年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2025年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残疾预防知识普及行动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重点人群残疾预防知识普及率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出生缺陷和发育障碍致残防控行动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婚前医学检查率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36.17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＞70%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孕前优生健康检查目标人群覆盖率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＞70%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孕产妇系统管理率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＞90%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产前筛查率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＞60%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＞75%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新生儿遗传代谢性疾病筛查率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≥98%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≥99%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新生儿听力筛查率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97%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≥97%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3岁以下儿童系统管理率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≥80%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≥90%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疾病致残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防控行动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9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高血压患者基层规范管理服务率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≥60%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≥65%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2型糖尿病患者基层规范管理服务率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≥60%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≥65%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11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百万人口白内障复明手术率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＞2000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12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以社区为单位心理咨询室或社会工作室建成率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登记在册的严重精神障碍患者规范管理率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14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适龄儿童免疫规划疫苗接种率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＞90%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控制和消除重大地方病的县（市、区）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＞95%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16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接触职业病危害的劳动者在岗期间职业健康检查率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≥90%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≥90%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伤害致残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防控行动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17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生产安全事故发生起数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比2016年下降10%以上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比2020年下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降10%以上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声环境功能区夜间达标率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74.5%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达到85%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康复服务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促进行动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19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每10万人口康复医师人数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力争达到8人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65岁以上失能老年人健康服务率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21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开展精神障碍社区康复服务的县（市、区）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22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开展精神障碍社区康复服务的县（市、区）的居家患者接受社区康复服务比率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23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残疾人基本康复服务覆盖率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24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残疾人辅助器具适配率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＞80%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＞85%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25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公共建筑无障碍设施建设率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100%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60001B16"/>
    <w:rsid w:val="6000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2024-03-02T00:48:00Z</dcterms:created>
  <dc:creator>Administrator</dc:creator>
  <cp:lastModifiedBy>Administrator</cp:lastModifiedBy>
  <dcterms:modified xsi:type="dcterms:W3CDTF">2024-03-02T00:48:29Z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64858E897151408496B0D740ABADA810_11</vt:lpwstr>
  </property>
</Properties>
</file>