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0" w:rightChars="0"/>
        <w:jc w:val="both"/>
        <w:textAlignment w:val="auto"/>
        <w:outlineLvl w:val="9"/>
        <w:rPr>
          <w:rFonts w:hint="eastAsia" w:ascii="黑体" w:hAnsi="黑体" w:eastAsia="黑体" w:cs="黑体"/>
          <w:snapToGrid/>
          <w:color w:val="auto"/>
          <w:kern w:val="2"/>
          <w:sz w:val="32"/>
          <w:szCs w:val="32"/>
          <w:highlight w:val="none"/>
          <w:lang w:val="en-US" w:eastAsia="zh-CN" w:bidi="ar-SA"/>
        </w:rPr>
      </w:pPr>
      <w:r>
        <w:rPr>
          <w:rFonts w:hint="eastAsia" w:ascii="黑体" w:hAnsi="黑体" w:eastAsia="黑体" w:cs="黑体"/>
          <w:snapToGrid/>
          <w:color w:val="auto"/>
          <w:kern w:val="2"/>
          <w:sz w:val="32"/>
          <w:szCs w:val="32"/>
          <w:highlight w:val="none"/>
          <w:lang w:val="en-US" w:eastAsia="zh-CN" w:bidi="ar-SA"/>
        </w:rPr>
        <w:t>附件</w:t>
      </w:r>
    </w:p>
    <w:p>
      <w:pPr>
        <w:pStyle w:val="2"/>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0" w:rightChars="0"/>
        <w:jc w:val="center"/>
        <w:textAlignment w:val="auto"/>
        <w:outlineLvl w:val="9"/>
        <w:rPr>
          <w:rFonts w:hint="eastAsia" w:ascii="宋体" w:hAnsi="宋体" w:eastAsia="宋体" w:cs="宋体"/>
          <w:b/>
          <w:bCs/>
          <w:snapToGrid/>
          <w:color w:val="auto"/>
          <w:kern w:val="2"/>
          <w:sz w:val="44"/>
          <w:szCs w:val="44"/>
          <w:highlight w:val="none"/>
          <w:lang w:val="en-US" w:eastAsia="zh-CN" w:bidi="ar-SA"/>
        </w:rPr>
      </w:pPr>
      <w:r>
        <w:rPr>
          <w:rFonts w:hint="eastAsia" w:ascii="宋体" w:hAnsi="宋体" w:eastAsia="宋体" w:cs="宋体"/>
          <w:b/>
          <w:bCs/>
          <w:snapToGrid/>
          <w:color w:val="auto"/>
          <w:kern w:val="2"/>
          <w:sz w:val="44"/>
          <w:szCs w:val="44"/>
          <w:highlight w:val="none"/>
          <w:lang w:val="en-US" w:eastAsia="zh-CN" w:bidi="ar-SA"/>
        </w:rPr>
        <w:t>电力接入工程范围</w:t>
      </w:r>
    </w:p>
    <w:p>
      <w:pPr>
        <w:pStyle w:val="2"/>
        <w:rPr>
          <w:rFonts w:hint="eastAsia"/>
          <w:lang w:val="en-US" w:eastAsia="zh-CN"/>
        </w:rPr>
      </w:pPr>
    </w:p>
    <w:p>
      <w:pPr>
        <w:keepNext w:val="0"/>
        <w:keepLines w:val="0"/>
        <w:pageBreakBefore w:val="0"/>
        <w:widowControl w:val="0"/>
        <w:kinsoku/>
        <w:wordWrap/>
        <w:overflowPunct/>
        <w:topLinePunct w:val="0"/>
        <w:autoSpaceDE w:val="0"/>
        <w:autoSpaceDN w:val="0"/>
        <w:bidi w:val="0"/>
        <w:adjustRightInd/>
        <w:snapToGrid/>
        <w:spacing w:before="0" w:beforeAutospacing="0" w:after="0" w:afterAutospacing="0" w:line="560" w:lineRule="exact"/>
        <w:ind w:left="0" w:right="0" w:firstLine="672" w:firstLineChars="200"/>
        <w:jc w:val="both"/>
        <w:textAlignment w:val="auto"/>
        <w:outlineLvl w:val="9"/>
        <w:rPr>
          <w:rFonts w:hint="eastAsia" w:ascii="方正黑体_GBK" w:hAnsi="方正黑体_GBK" w:eastAsia="方正黑体_GBK" w:cs="方正黑体_GBK"/>
          <w:color w:val="auto"/>
          <w:w w:val="105"/>
          <w:sz w:val="32"/>
          <w:szCs w:val="32"/>
          <w:highlight w:val="none"/>
          <w:lang w:val="en-US" w:eastAsia="zh-CN"/>
        </w:rPr>
      </w:pPr>
      <w:r>
        <w:rPr>
          <w:rFonts w:hint="eastAsia" w:ascii="方正黑体_GBK" w:hAnsi="方正黑体_GBK" w:eastAsia="方正黑体_GBK" w:cs="方正黑体_GBK"/>
          <w:color w:val="auto"/>
          <w:w w:val="105"/>
          <w:sz w:val="32"/>
          <w:szCs w:val="32"/>
          <w:highlight w:val="none"/>
          <w:lang w:eastAsia="zh-CN"/>
        </w:rPr>
        <w:t>一、专线客户</w:t>
      </w:r>
    </w:p>
    <w:p>
      <w:pPr>
        <w:keepNext w:val="0"/>
        <w:keepLines w:val="0"/>
        <w:pageBreakBefore w:val="0"/>
        <w:widowControl w:val="0"/>
        <w:kinsoku/>
        <w:wordWrap/>
        <w:overflowPunct/>
        <w:topLinePunct w:val="0"/>
        <w:autoSpaceDE w:val="0"/>
        <w:autoSpaceDN w:val="0"/>
        <w:bidi w:val="0"/>
        <w:adjustRightInd/>
        <w:snapToGrid/>
        <w:spacing w:before="0" w:beforeAutospacing="0" w:after="0" w:afterAutospacing="0" w:line="560" w:lineRule="exact"/>
        <w:ind w:left="0" w:right="0" w:firstLine="672" w:firstLineChars="200"/>
        <w:jc w:val="both"/>
        <w:textAlignment w:val="auto"/>
        <w:outlineLvl w:val="9"/>
        <w:rPr>
          <w:rFonts w:hint="eastAsia" w:ascii="仿宋_GB2312" w:hAnsi="仿宋_GB2312" w:eastAsia="仿宋_GB2312" w:cs="仿宋_GB2312"/>
          <w:color w:val="auto"/>
          <w:w w:val="105"/>
          <w:sz w:val="32"/>
          <w:szCs w:val="32"/>
          <w:highlight w:val="none"/>
          <w:lang w:val="en-US" w:eastAsia="zh-CN"/>
        </w:rPr>
      </w:pPr>
      <w:r>
        <w:rPr>
          <w:rFonts w:hint="eastAsia" w:ascii="仿宋_GB2312" w:hAnsi="仿宋_GB2312" w:eastAsia="仿宋_GB2312" w:cs="仿宋_GB2312"/>
          <w:color w:val="auto"/>
          <w:w w:val="105"/>
          <w:sz w:val="32"/>
          <w:szCs w:val="32"/>
          <w:highlight w:val="none"/>
          <w:lang w:eastAsia="zh-CN"/>
        </w:rPr>
        <w:t>以电源变电站的出线构架（或电缆线路的终端头）为分界点，分界点至客户建筑区划红线外第一断路器或第一支持物为电力接入工程政企费用分摊范围。</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641"/>
        <w:jc w:val="both"/>
        <w:textAlignment w:val="auto"/>
        <w:outlineLvl w:val="9"/>
        <w:rPr>
          <w:rFonts w:hint="eastAsia" w:ascii="仿宋" w:hAnsi="仿宋" w:eastAsia="仿宋" w:cs="仿宋"/>
          <w:snapToGrid/>
          <w:color w:val="auto"/>
          <w:kern w:val="2"/>
          <w:sz w:val="32"/>
          <w:szCs w:val="32"/>
          <w:highlight w:val="none"/>
          <w:lang w:val="en-US" w:eastAsia="zh-CN" w:bidi="ar-SA"/>
        </w:rPr>
      </w:pPr>
      <w:r>
        <w:rPr>
          <w:rFonts w:hint="eastAsia" w:ascii="仿宋" w:hAnsi="仿宋" w:eastAsia="仿宋" w:cs="仿宋"/>
          <w:snapToGrid/>
          <w:color w:val="auto"/>
          <w:kern w:val="2"/>
          <w:sz w:val="32"/>
          <w:szCs w:val="32"/>
          <w:highlight w:val="none"/>
          <w:lang w:val="en-US" w:eastAsia="zh-CN" w:bidi="ar-SA"/>
        </w:rPr>
        <w:drawing>
          <wp:inline distT="0" distB="0" distL="114300" distR="114300">
            <wp:extent cx="5409565" cy="2771140"/>
            <wp:effectExtent l="0" t="0" r="635" b="10160"/>
            <wp:docPr id="2" name="图片 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图片1"/>
                    <pic:cNvPicPr>
                      <a:picLocks noChangeAspect="1"/>
                    </pic:cNvPicPr>
                  </pic:nvPicPr>
                  <pic:blipFill>
                    <a:blip r:embed="rId7"/>
                    <a:stretch>
                      <a:fillRect/>
                    </a:stretch>
                  </pic:blipFill>
                  <pic:spPr>
                    <a:xfrm>
                      <a:off x="0" y="0"/>
                      <a:ext cx="5409565" cy="2771140"/>
                    </a:xfrm>
                    <a:prstGeom prst="rect">
                      <a:avLst/>
                    </a:prstGeom>
                    <a:noFill/>
                    <a:ln>
                      <a:noFill/>
                    </a:ln>
                  </pic:spPr>
                </pic:pic>
              </a:graphicData>
            </a:graphic>
          </wp:inline>
        </w:drawing>
      </w:r>
    </w:p>
    <w:p>
      <w:pPr>
        <w:pStyle w:val="9"/>
        <w:autoSpaceDN w:val="0"/>
        <w:jc w:val="center"/>
        <w:textAlignment w:val="baseline"/>
        <w:rPr>
          <w:color w:val="auto"/>
        </w:rPr>
      </w:pPr>
      <w:r>
        <w:rPr>
          <w:rFonts w:hint="eastAsia" w:ascii="宋体" w:hAnsi="宋体"/>
          <w:color w:val="auto"/>
          <w:sz w:val="28"/>
          <w:szCs w:val="28"/>
        </w:rPr>
        <w:t>专线</w:t>
      </w:r>
      <w:r>
        <w:rPr>
          <w:rFonts w:hint="eastAsia"/>
          <w:color w:val="auto"/>
          <w:sz w:val="28"/>
          <w:szCs w:val="28"/>
          <w:lang w:eastAsia="zh-CN"/>
        </w:rPr>
        <w:t>客户电力接入工程政企费用分摊范围</w:t>
      </w:r>
      <w:r>
        <w:rPr>
          <w:rFonts w:hint="eastAsia" w:ascii="宋体" w:hAnsi="宋体"/>
          <w:color w:val="auto"/>
          <w:sz w:val="28"/>
          <w:szCs w:val="28"/>
        </w:rPr>
        <w:t>示意图</w:t>
      </w:r>
    </w:p>
    <w:p>
      <w:pPr>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72" w:firstLineChars="200"/>
        <w:jc w:val="both"/>
        <w:textAlignment w:val="auto"/>
        <w:outlineLvl w:val="9"/>
        <w:rPr>
          <w:rFonts w:hint="eastAsia" w:ascii="方正仿宋_GBK" w:hAnsi="方正仿宋_GBK" w:eastAsia="方正仿宋_GBK" w:cs="方正仿宋_GBK"/>
          <w:color w:val="auto"/>
          <w:w w:val="105"/>
          <w:sz w:val="32"/>
          <w:szCs w:val="32"/>
          <w:highlight w:val="none"/>
          <w:lang w:val="en-US" w:eastAsia="zh-CN"/>
        </w:rPr>
      </w:pPr>
    </w:p>
    <w:p>
      <w:pPr>
        <w:keepNext w:val="0"/>
        <w:keepLines w:val="0"/>
        <w:pageBreakBefore w:val="0"/>
        <w:widowControl w:val="0"/>
        <w:kinsoku/>
        <w:wordWrap/>
        <w:overflowPunct/>
        <w:topLinePunct w:val="0"/>
        <w:autoSpaceDE w:val="0"/>
        <w:autoSpaceDN w:val="0"/>
        <w:bidi w:val="0"/>
        <w:adjustRightInd/>
        <w:snapToGrid/>
        <w:spacing w:before="0" w:beforeAutospacing="0" w:after="0" w:afterAutospacing="0" w:line="560" w:lineRule="exact"/>
        <w:ind w:left="0" w:right="0" w:firstLine="672" w:firstLineChars="200"/>
        <w:jc w:val="both"/>
        <w:textAlignment w:val="auto"/>
        <w:outlineLvl w:val="9"/>
        <w:rPr>
          <w:rFonts w:hint="eastAsia" w:ascii="方正黑体_GBK" w:hAnsi="方正黑体_GBK" w:eastAsia="方正黑体_GBK" w:cs="方正黑体_GBK"/>
          <w:color w:val="auto"/>
          <w:w w:val="105"/>
          <w:sz w:val="32"/>
          <w:szCs w:val="32"/>
          <w:highlight w:val="none"/>
          <w:lang w:eastAsia="zh-CN"/>
        </w:rPr>
      </w:pPr>
      <w:r>
        <w:rPr>
          <w:rFonts w:hint="eastAsia" w:ascii="方正黑体_GBK" w:hAnsi="方正黑体_GBK" w:eastAsia="方正黑体_GBK" w:cs="方正黑体_GBK"/>
          <w:color w:val="auto"/>
          <w:w w:val="105"/>
          <w:sz w:val="32"/>
          <w:szCs w:val="32"/>
          <w:highlight w:val="none"/>
          <w:lang w:val="en-US" w:eastAsia="zh-CN"/>
        </w:rPr>
        <w:t>二、</w:t>
      </w:r>
      <w:r>
        <w:rPr>
          <w:rFonts w:hint="eastAsia" w:ascii="方正黑体_GBK" w:hAnsi="方正黑体_GBK" w:eastAsia="方正黑体_GBK" w:cs="方正黑体_GBK"/>
          <w:color w:val="auto"/>
          <w:w w:val="105"/>
          <w:sz w:val="32"/>
          <w:szCs w:val="32"/>
          <w:highlight w:val="none"/>
          <w:lang w:eastAsia="zh-CN"/>
        </w:rPr>
        <w:t>普通高压电力客户</w:t>
      </w:r>
    </w:p>
    <w:p>
      <w:pPr>
        <w:keepNext w:val="0"/>
        <w:keepLines w:val="0"/>
        <w:pageBreakBefore w:val="0"/>
        <w:widowControl w:val="0"/>
        <w:kinsoku/>
        <w:wordWrap/>
        <w:overflowPunct/>
        <w:topLinePunct w:val="0"/>
        <w:autoSpaceDE w:val="0"/>
        <w:autoSpaceDN w:val="0"/>
        <w:bidi w:val="0"/>
        <w:adjustRightInd/>
        <w:snapToGrid/>
        <w:spacing w:before="0" w:beforeAutospacing="0" w:after="0" w:afterAutospacing="0" w:line="560" w:lineRule="exact"/>
        <w:ind w:left="0" w:right="0" w:firstLine="672" w:firstLineChars="200"/>
        <w:jc w:val="both"/>
        <w:textAlignment w:val="auto"/>
        <w:outlineLvl w:val="9"/>
        <w:rPr>
          <w:rFonts w:hint="eastAsia" w:ascii="仿宋_GB2312" w:hAnsi="仿宋_GB2312" w:eastAsia="仿宋_GB2312" w:cs="仿宋_GB2312"/>
          <w:color w:val="auto"/>
          <w:w w:val="105"/>
          <w:sz w:val="32"/>
          <w:szCs w:val="32"/>
          <w:highlight w:val="none"/>
          <w:lang w:eastAsia="zh-CN"/>
        </w:rPr>
      </w:pPr>
      <w:r>
        <w:rPr>
          <w:rFonts w:hint="eastAsia" w:ascii="仿宋_GB2312" w:hAnsi="仿宋_GB2312" w:eastAsia="仿宋_GB2312" w:cs="仿宋_GB2312"/>
          <w:color w:val="auto"/>
          <w:w w:val="105"/>
          <w:sz w:val="32"/>
          <w:szCs w:val="32"/>
          <w:highlight w:val="none"/>
          <w:lang w:eastAsia="zh-CN"/>
        </w:rPr>
        <w:t>以客户电源线路接入公用开关（环网）站或既有架空线路的连接点为分界点，分界点至客户建筑区划红线外第一断路器或第一支持物为电力接入工程政企费用分摊范围。</w:t>
      </w:r>
    </w:p>
    <w:p>
      <w:pPr>
        <w:pStyle w:val="5"/>
        <w:rPr>
          <w:rFonts w:hint="eastAsia" w:eastAsia="宋体"/>
          <w:color w:val="auto"/>
          <w:lang w:eastAsia="zh-CN"/>
        </w:rPr>
      </w:pPr>
    </w:p>
    <w:p>
      <w:pPr>
        <w:pStyle w:val="5"/>
        <w:rPr>
          <w:rFonts w:hint="eastAsia" w:eastAsia="宋体"/>
          <w:color w:val="auto"/>
          <w:lang w:eastAsia="zh-CN"/>
        </w:rPr>
      </w:pPr>
    </w:p>
    <w:p>
      <w:pPr>
        <w:pStyle w:val="5"/>
        <w:rPr>
          <w:rFonts w:hint="eastAsia" w:eastAsia="宋体"/>
          <w:color w:val="auto"/>
          <w:lang w:eastAsia="zh-CN"/>
        </w:rPr>
      </w:pPr>
      <w:r>
        <w:rPr>
          <w:rFonts w:hint="eastAsia" w:eastAsia="宋体"/>
          <w:color w:val="auto"/>
          <w:lang w:eastAsia="zh-CN"/>
        </w:rPr>
        <w:drawing>
          <wp:inline distT="0" distB="0" distL="114300" distR="114300">
            <wp:extent cx="4133215" cy="2752090"/>
            <wp:effectExtent l="0" t="0" r="6985" b="3810"/>
            <wp:docPr id="3" name="图片 2"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图片2"/>
                    <pic:cNvPicPr>
                      <a:picLocks noChangeAspect="1"/>
                    </pic:cNvPicPr>
                  </pic:nvPicPr>
                  <pic:blipFill>
                    <a:blip r:embed="rId8"/>
                    <a:stretch>
                      <a:fillRect/>
                    </a:stretch>
                  </pic:blipFill>
                  <pic:spPr>
                    <a:xfrm>
                      <a:off x="0" y="0"/>
                      <a:ext cx="4133215" cy="2752090"/>
                    </a:xfrm>
                    <a:prstGeom prst="rect">
                      <a:avLst/>
                    </a:prstGeom>
                    <a:noFill/>
                    <a:ln>
                      <a:noFill/>
                    </a:ln>
                  </pic:spPr>
                </pic:pic>
              </a:graphicData>
            </a:graphic>
          </wp:inline>
        </w:drawing>
      </w:r>
    </w:p>
    <w:p>
      <w:pPr>
        <w:jc w:val="center"/>
        <w:rPr>
          <w:color w:val="auto"/>
        </w:rPr>
      </w:pPr>
      <w:r>
        <w:rPr>
          <w:rFonts w:hint="eastAsia" w:ascii="宋体" w:hAnsi="宋体"/>
          <w:color w:val="auto"/>
          <w:sz w:val="28"/>
          <w:szCs w:val="28"/>
        </w:rPr>
        <w:t>从开关（环网）</w:t>
      </w:r>
      <w:r>
        <w:rPr>
          <w:rFonts w:hint="eastAsia"/>
          <w:color w:val="auto"/>
          <w:sz w:val="28"/>
          <w:szCs w:val="28"/>
          <w:lang w:val="en-US" w:eastAsia="zh-CN"/>
        </w:rPr>
        <w:t>站</w:t>
      </w:r>
      <w:r>
        <w:rPr>
          <w:rFonts w:hint="eastAsia" w:ascii="宋体" w:hAnsi="宋体"/>
          <w:color w:val="auto"/>
          <w:sz w:val="28"/>
          <w:szCs w:val="28"/>
        </w:rPr>
        <w:t>接入</w:t>
      </w:r>
      <w:r>
        <w:rPr>
          <w:rFonts w:hint="eastAsia"/>
          <w:color w:val="auto"/>
          <w:sz w:val="28"/>
          <w:szCs w:val="28"/>
          <w:lang w:val="en-US" w:eastAsia="zh-CN"/>
        </w:rPr>
        <w:t>普通高压电力客户</w:t>
      </w:r>
      <w:r>
        <w:rPr>
          <w:rFonts w:hint="eastAsia"/>
          <w:color w:val="auto"/>
          <w:sz w:val="28"/>
          <w:szCs w:val="28"/>
          <w:lang w:eastAsia="zh-CN"/>
        </w:rPr>
        <w:t>电力接入工程政企费用分摊范围</w:t>
      </w:r>
      <w:r>
        <w:rPr>
          <w:rFonts w:hint="eastAsia" w:ascii="宋体" w:hAnsi="宋体"/>
          <w:color w:val="auto"/>
          <w:sz w:val="28"/>
          <w:szCs w:val="28"/>
        </w:rPr>
        <w:t>示意图</w:t>
      </w:r>
    </w:p>
    <w:p>
      <w:pPr>
        <w:rPr>
          <w:rFonts w:hint="eastAsia" w:eastAsia="宋体"/>
          <w:color w:val="auto"/>
          <w:lang w:eastAsia="zh-CN"/>
        </w:rPr>
      </w:pPr>
      <w:r>
        <w:rPr>
          <w:rFonts w:hint="eastAsia" w:eastAsia="宋体"/>
          <w:color w:val="auto"/>
          <w:lang w:eastAsia="zh-CN"/>
        </w:rPr>
        <w:drawing>
          <wp:inline distT="0" distB="0" distL="114300" distR="114300">
            <wp:extent cx="4980940" cy="3333115"/>
            <wp:effectExtent l="0" t="0" r="10160" b="6985"/>
            <wp:docPr id="4" name="图片 3"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图片3"/>
                    <pic:cNvPicPr>
                      <a:picLocks noChangeAspect="1"/>
                    </pic:cNvPicPr>
                  </pic:nvPicPr>
                  <pic:blipFill>
                    <a:blip r:embed="rId9"/>
                    <a:stretch>
                      <a:fillRect/>
                    </a:stretch>
                  </pic:blipFill>
                  <pic:spPr>
                    <a:xfrm>
                      <a:off x="0" y="0"/>
                      <a:ext cx="4980940" cy="3333115"/>
                    </a:xfrm>
                    <a:prstGeom prst="rect">
                      <a:avLst/>
                    </a:prstGeom>
                    <a:noFill/>
                    <a:ln>
                      <a:noFill/>
                    </a:ln>
                  </pic:spPr>
                </pic:pic>
              </a:graphicData>
            </a:graphic>
          </wp:inline>
        </w:drawing>
      </w:r>
    </w:p>
    <w:p>
      <w:pPr>
        <w:pStyle w:val="9"/>
        <w:jc w:val="center"/>
        <w:rPr>
          <w:rFonts w:hint="eastAsia"/>
          <w:color w:val="auto"/>
          <w:sz w:val="28"/>
          <w:szCs w:val="28"/>
          <w:lang w:eastAsia="zh-CN"/>
        </w:rPr>
      </w:pPr>
      <w:r>
        <w:rPr>
          <w:rFonts w:hint="eastAsia" w:ascii="宋体" w:hAnsi="宋体"/>
          <w:color w:val="auto"/>
          <w:sz w:val="28"/>
          <w:szCs w:val="28"/>
        </w:rPr>
        <w:t>从</w:t>
      </w:r>
      <w:r>
        <w:rPr>
          <w:rFonts w:hint="eastAsia"/>
          <w:color w:val="auto"/>
          <w:sz w:val="28"/>
          <w:szCs w:val="28"/>
          <w:lang w:val="en-US" w:eastAsia="zh-CN"/>
        </w:rPr>
        <w:t>既有</w:t>
      </w:r>
      <w:r>
        <w:rPr>
          <w:rFonts w:hint="eastAsia" w:ascii="宋体" w:hAnsi="宋体"/>
          <w:color w:val="auto"/>
          <w:sz w:val="28"/>
          <w:szCs w:val="28"/>
        </w:rPr>
        <w:t>架空线路接入</w:t>
      </w:r>
      <w:r>
        <w:rPr>
          <w:rFonts w:hint="eastAsia"/>
          <w:color w:val="auto"/>
          <w:sz w:val="28"/>
          <w:szCs w:val="28"/>
          <w:lang w:val="en-US" w:eastAsia="zh-CN"/>
        </w:rPr>
        <w:t>普通高压电力</w:t>
      </w:r>
      <w:r>
        <w:rPr>
          <w:rFonts w:hint="eastAsia" w:ascii="宋体" w:hAnsi="宋体"/>
          <w:color w:val="auto"/>
          <w:sz w:val="28"/>
          <w:szCs w:val="28"/>
        </w:rPr>
        <w:t>客户</w:t>
      </w:r>
      <w:r>
        <w:rPr>
          <w:rFonts w:hint="eastAsia"/>
          <w:color w:val="auto"/>
          <w:sz w:val="28"/>
          <w:szCs w:val="28"/>
          <w:lang w:eastAsia="zh-CN"/>
        </w:rPr>
        <w:t>电力接入工程政企费用分摊</w:t>
      </w:r>
    </w:p>
    <w:p>
      <w:pPr>
        <w:pStyle w:val="9"/>
        <w:jc w:val="center"/>
        <w:rPr>
          <w:color w:val="auto"/>
        </w:rPr>
      </w:pPr>
      <w:r>
        <w:rPr>
          <w:rFonts w:hint="eastAsia"/>
          <w:color w:val="auto"/>
          <w:sz w:val="28"/>
          <w:szCs w:val="28"/>
          <w:lang w:eastAsia="zh-CN"/>
        </w:rPr>
        <w:t>范围</w:t>
      </w:r>
      <w:r>
        <w:rPr>
          <w:rFonts w:hint="eastAsia" w:ascii="宋体" w:hAnsi="宋体"/>
          <w:color w:val="auto"/>
          <w:sz w:val="28"/>
          <w:szCs w:val="28"/>
        </w:rPr>
        <w:t>示意图</w:t>
      </w:r>
    </w:p>
    <w:p>
      <w:pPr>
        <w:keepNext w:val="0"/>
        <w:keepLines w:val="0"/>
        <w:pageBreakBefore w:val="0"/>
        <w:kinsoku/>
        <w:wordWrap/>
        <w:overflowPunct/>
        <w:topLinePunct w:val="0"/>
        <w:bidi w:val="0"/>
        <w:adjustRightInd/>
        <w:snapToGrid/>
        <w:spacing w:beforeAutospacing="0" w:after="0" w:afterLines="0" w:afterAutospacing="0" w:line="560" w:lineRule="exact"/>
        <w:ind w:left="0" w:leftChars="0" w:firstLine="672" w:firstLineChars="200"/>
        <w:jc w:val="both"/>
        <w:textAlignment w:val="auto"/>
        <w:outlineLvl w:val="9"/>
        <w:rPr>
          <w:rFonts w:hint="eastAsia" w:ascii="方正仿宋_GBK" w:hAnsi="方正仿宋_GBK" w:eastAsia="方正仿宋_GBK" w:cs="方正仿宋_GBK"/>
          <w:color w:val="auto"/>
          <w:w w:val="105"/>
          <w:kern w:val="0"/>
          <w:sz w:val="32"/>
          <w:szCs w:val="32"/>
          <w:highlight w:val="none"/>
          <w:lang w:val="en-US" w:eastAsia="zh-CN" w:bidi="ar-SA"/>
        </w:rPr>
      </w:pPr>
    </w:p>
    <w:p>
      <w:pPr>
        <w:keepNext w:val="0"/>
        <w:keepLines w:val="0"/>
        <w:pageBreakBefore w:val="0"/>
        <w:widowControl w:val="0"/>
        <w:kinsoku/>
        <w:wordWrap/>
        <w:overflowPunct/>
        <w:topLinePunct w:val="0"/>
        <w:autoSpaceDE w:val="0"/>
        <w:autoSpaceDN w:val="0"/>
        <w:bidi w:val="0"/>
        <w:adjustRightInd/>
        <w:snapToGrid/>
        <w:spacing w:before="0" w:beforeAutospacing="0" w:after="0" w:afterAutospacing="0" w:line="560" w:lineRule="exact"/>
        <w:ind w:left="0" w:right="0" w:firstLine="672" w:firstLineChars="200"/>
        <w:jc w:val="both"/>
        <w:textAlignment w:val="auto"/>
        <w:outlineLvl w:val="9"/>
        <w:rPr>
          <w:rFonts w:hint="eastAsia" w:ascii="方正黑体_GBK" w:hAnsi="方正黑体_GBK" w:eastAsia="方正黑体_GBK" w:cs="方正黑体_GBK"/>
          <w:color w:val="auto"/>
          <w:w w:val="105"/>
          <w:sz w:val="32"/>
          <w:szCs w:val="32"/>
          <w:highlight w:val="none"/>
          <w:lang w:val="en-US" w:eastAsia="zh-CN"/>
        </w:rPr>
      </w:pPr>
      <w:r>
        <w:rPr>
          <w:rFonts w:hint="eastAsia" w:ascii="方正黑体_GBK" w:hAnsi="方正黑体_GBK" w:eastAsia="方正黑体_GBK" w:cs="方正黑体_GBK"/>
          <w:color w:val="auto"/>
          <w:w w:val="105"/>
          <w:sz w:val="32"/>
          <w:szCs w:val="32"/>
          <w:highlight w:val="none"/>
          <w:lang w:val="en-US" w:eastAsia="zh-CN"/>
        </w:rPr>
        <w:t>三、</w:t>
      </w:r>
      <w:r>
        <w:rPr>
          <w:rFonts w:hint="eastAsia" w:ascii="方正黑体_GBK" w:hAnsi="方正黑体_GBK" w:eastAsia="方正黑体_GBK" w:cs="方正黑体_GBK"/>
          <w:color w:val="auto"/>
          <w:w w:val="105"/>
          <w:sz w:val="32"/>
          <w:szCs w:val="32"/>
          <w:highlight w:val="none"/>
          <w:lang w:val="en-US" w:eastAsia="en-US"/>
        </w:rPr>
        <w:t>电能替代、电动汽车充换电项目</w:t>
      </w:r>
      <w:r>
        <w:rPr>
          <w:rFonts w:hint="eastAsia" w:ascii="方正黑体_GBK" w:hAnsi="方正黑体_GBK" w:eastAsia="方正黑体_GBK" w:cs="方正黑体_GBK"/>
          <w:color w:val="auto"/>
          <w:w w:val="105"/>
          <w:sz w:val="32"/>
          <w:szCs w:val="32"/>
          <w:highlight w:val="none"/>
          <w:lang w:val="en-US" w:eastAsia="zh-CN"/>
        </w:rPr>
        <w:t>，低压小微企业、零散居民</w:t>
      </w:r>
      <w:r>
        <w:rPr>
          <w:rFonts w:hint="eastAsia" w:ascii="方正黑体_GBK" w:hAnsi="方正黑体_GBK" w:eastAsia="方正黑体_GBK" w:cs="方正黑体_GBK"/>
          <w:color w:val="auto"/>
          <w:w w:val="105"/>
          <w:sz w:val="32"/>
          <w:szCs w:val="32"/>
          <w:highlight w:val="none"/>
          <w:lang w:val="en-US" w:eastAsia="en-US"/>
        </w:rPr>
        <w:t>客户</w:t>
      </w:r>
    </w:p>
    <w:p>
      <w:pPr>
        <w:keepNext w:val="0"/>
        <w:keepLines w:val="0"/>
        <w:pageBreakBefore w:val="0"/>
        <w:widowControl w:val="0"/>
        <w:kinsoku/>
        <w:wordWrap/>
        <w:overflowPunct/>
        <w:topLinePunct w:val="0"/>
        <w:autoSpaceDE w:val="0"/>
        <w:autoSpaceDN w:val="0"/>
        <w:bidi w:val="0"/>
        <w:adjustRightInd/>
        <w:snapToGrid/>
        <w:spacing w:before="0" w:beforeAutospacing="0" w:after="0" w:afterAutospacing="0" w:line="560" w:lineRule="exact"/>
        <w:ind w:left="0" w:right="0" w:firstLine="672" w:firstLineChars="200"/>
        <w:jc w:val="both"/>
        <w:textAlignment w:val="auto"/>
        <w:outlineLvl w:val="9"/>
        <w:rPr>
          <w:rFonts w:hint="eastAsia" w:ascii="仿宋_GB2312" w:hAnsi="仿宋_GB2312" w:eastAsia="仿宋_GB2312" w:cs="仿宋_GB2312"/>
          <w:color w:val="auto"/>
          <w:w w:val="105"/>
          <w:sz w:val="32"/>
          <w:szCs w:val="32"/>
          <w:highlight w:val="none"/>
          <w:lang w:eastAsia="zh-CN"/>
        </w:rPr>
      </w:pPr>
      <w:r>
        <w:rPr>
          <w:rFonts w:hint="eastAsia" w:ascii="仿宋_GB2312" w:hAnsi="仿宋_GB2312" w:eastAsia="仿宋_GB2312" w:cs="仿宋_GB2312"/>
          <w:color w:val="auto"/>
          <w:w w:val="105"/>
          <w:sz w:val="32"/>
          <w:szCs w:val="32"/>
          <w:highlight w:val="none"/>
          <w:lang w:val="en-US" w:eastAsia="zh-CN"/>
        </w:rPr>
        <w:t>以客户建筑区划红线处计量装置出线下桩头为分界点，分界点电源侧所有电力接入工程由国网</w:t>
      </w:r>
      <w:r>
        <w:rPr>
          <w:rFonts w:hint="default" w:ascii="仿宋_GB2312" w:hAnsi="仿宋_GB2312" w:eastAsia="仿宋_GB2312" w:cs="仿宋_GB2312"/>
          <w:color w:val="auto"/>
          <w:w w:val="105"/>
          <w:sz w:val="32"/>
          <w:szCs w:val="32"/>
          <w:highlight w:val="none"/>
          <w:lang w:eastAsia="zh-CN"/>
        </w:rPr>
        <w:t>牡丹江</w:t>
      </w:r>
      <w:r>
        <w:rPr>
          <w:rFonts w:hint="eastAsia" w:ascii="仿宋_GB2312" w:hAnsi="仿宋_GB2312" w:eastAsia="仿宋_GB2312" w:cs="仿宋_GB2312"/>
          <w:color w:val="auto"/>
          <w:w w:val="105"/>
          <w:sz w:val="32"/>
          <w:szCs w:val="32"/>
          <w:highlight w:val="none"/>
          <w:lang w:val="en-US" w:eastAsia="zh-CN"/>
        </w:rPr>
        <w:t>供电公司投资建设。</w:t>
      </w:r>
    </w:p>
    <w:p>
      <w:pPr>
        <w:ind w:firstLine="440" w:firstLineChars="200"/>
        <w:rPr>
          <w:rFonts w:hint="eastAsia" w:eastAsia="宋体"/>
          <w:color w:val="auto"/>
          <w:lang w:val="en-US" w:eastAsia="zh-CN"/>
        </w:rPr>
      </w:pPr>
      <w:r>
        <w:rPr>
          <w:rFonts w:hint="eastAsia" w:eastAsia="宋体"/>
          <w:color w:val="auto"/>
          <w:lang w:val="en-US" w:eastAsia="zh-CN"/>
        </w:rPr>
        <w:drawing>
          <wp:inline distT="0" distB="0" distL="114300" distR="114300">
            <wp:extent cx="5323840" cy="2733675"/>
            <wp:effectExtent l="0" t="0" r="10160" b="9525"/>
            <wp:docPr id="5" name="图片 4" descr="图片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图片4"/>
                    <pic:cNvPicPr>
                      <a:picLocks noChangeAspect="1"/>
                    </pic:cNvPicPr>
                  </pic:nvPicPr>
                  <pic:blipFill>
                    <a:blip r:embed="rId10"/>
                    <a:stretch>
                      <a:fillRect/>
                    </a:stretch>
                  </pic:blipFill>
                  <pic:spPr>
                    <a:xfrm>
                      <a:off x="0" y="0"/>
                      <a:ext cx="5323840" cy="2733675"/>
                    </a:xfrm>
                    <a:prstGeom prst="rect">
                      <a:avLst/>
                    </a:prstGeom>
                    <a:noFill/>
                    <a:ln>
                      <a:noFill/>
                    </a:ln>
                  </pic:spPr>
                </pic:pic>
              </a:graphicData>
            </a:graphic>
          </wp:inline>
        </w:drawing>
      </w:r>
    </w:p>
    <w:p>
      <w:pPr>
        <w:pStyle w:val="9"/>
        <w:autoSpaceDN w:val="0"/>
        <w:jc w:val="center"/>
        <w:textAlignment w:val="baseline"/>
        <w:rPr>
          <w:color w:val="auto"/>
        </w:rPr>
      </w:pPr>
      <w:r>
        <w:rPr>
          <w:rFonts w:hint="eastAsia" w:ascii="宋体" w:hAnsi="宋体"/>
          <w:color w:val="auto"/>
          <w:sz w:val="28"/>
          <w:szCs w:val="28"/>
        </w:rPr>
        <w:t>电能替代、电动汽车充换电项目，低压小微企业、零散居民客户</w:t>
      </w:r>
      <w:r>
        <w:rPr>
          <w:rFonts w:hint="eastAsia"/>
          <w:color w:val="auto"/>
          <w:sz w:val="28"/>
          <w:szCs w:val="28"/>
          <w:lang w:eastAsia="zh-CN"/>
        </w:rPr>
        <w:t>电力接入工程</w:t>
      </w:r>
      <w:r>
        <w:rPr>
          <w:rFonts w:hint="eastAsia"/>
          <w:color w:val="auto"/>
          <w:sz w:val="28"/>
          <w:szCs w:val="28"/>
          <w:lang w:val="en-US" w:eastAsia="zh-CN"/>
        </w:rPr>
        <w:t>政企费用分摊</w:t>
      </w:r>
      <w:r>
        <w:rPr>
          <w:rFonts w:hint="eastAsia"/>
          <w:color w:val="auto"/>
          <w:sz w:val="28"/>
          <w:szCs w:val="28"/>
          <w:lang w:eastAsia="zh-CN"/>
        </w:rPr>
        <w:t>范围</w:t>
      </w:r>
      <w:r>
        <w:rPr>
          <w:rFonts w:hint="eastAsia" w:ascii="宋体" w:hAnsi="宋体"/>
          <w:color w:val="auto"/>
          <w:sz w:val="28"/>
          <w:szCs w:val="28"/>
        </w:rPr>
        <w:t>示意图</w:t>
      </w:r>
    </w:p>
    <w:p>
      <w:pPr>
        <w:keepNext w:val="0"/>
        <w:keepLines w:val="0"/>
        <w:pageBreakBefore w:val="0"/>
        <w:widowControl w:val="0"/>
        <w:kinsoku/>
        <w:wordWrap/>
        <w:overflowPunct/>
        <w:topLinePunct w:val="0"/>
        <w:autoSpaceDE w:val="0"/>
        <w:autoSpaceDN w:val="0"/>
        <w:bidi w:val="0"/>
        <w:adjustRightInd/>
        <w:snapToGrid/>
        <w:spacing w:before="0" w:beforeAutospacing="0" w:after="0" w:afterAutospacing="0" w:line="560" w:lineRule="exact"/>
        <w:ind w:left="0" w:right="0" w:firstLine="672" w:firstLineChars="200"/>
        <w:jc w:val="both"/>
        <w:textAlignment w:val="auto"/>
        <w:outlineLvl w:val="9"/>
        <w:rPr>
          <w:rFonts w:hint="eastAsia" w:ascii="方正仿宋_GBK" w:hAnsi="方正仿宋_GBK" w:eastAsia="方正仿宋_GBK" w:cs="方正仿宋_GBK"/>
          <w:color w:val="auto"/>
          <w:w w:val="105"/>
          <w:sz w:val="32"/>
          <w:szCs w:val="32"/>
          <w:highlight w:val="none"/>
          <w:lang w:val="en-US" w:eastAsia="zh-CN"/>
        </w:rPr>
      </w:pPr>
    </w:p>
    <w:p>
      <w:pPr>
        <w:keepNext w:val="0"/>
        <w:keepLines w:val="0"/>
        <w:pageBreakBefore w:val="0"/>
        <w:widowControl w:val="0"/>
        <w:kinsoku/>
        <w:wordWrap/>
        <w:overflowPunct/>
        <w:topLinePunct w:val="0"/>
        <w:autoSpaceDE w:val="0"/>
        <w:autoSpaceDN w:val="0"/>
        <w:bidi w:val="0"/>
        <w:adjustRightInd/>
        <w:snapToGrid/>
        <w:spacing w:before="0" w:beforeAutospacing="0" w:after="0" w:afterAutospacing="0" w:line="560" w:lineRule="exact"/>
        <w:ind w:left="0" w:right="0" w:firstLine="672" w:firstLineChars="200"/>
        <w:jc w:val="both"/>
        <w:textAlignment w:val="auto"/>
        <w:outlineLvl w:val="9"/>
        <w:rPr>
          <w:rFonts w:hint="eastAsia" w:ascii="方正黑体_GBK" w:hAnsi="方正黑体_GBK" w:eastAsia="方正黑体_GBK" w:cs="方正黑体_GBK"/>
          <w:color w:val="auto"/>
          <w:w w:val="105"/>
          <w:sz w:val="32"/>
          <w:szCs w:val="32"/>
          <w:highlight w:val="none"/>
          <w:lang w:val="en-US" w:eastAsia="zh-CN"/>
        </w:rPr>
      </w:pPr>
      <w:r>
        <w:rPr>
          <w:rFonts w:hint="eastAsia" w:ascii="方正黑体_GBK" w:hAnsi="方正黑体_GBK" w:eastAsia="方正黑体_GBK" w:cs="方正黑体_GBK"/>
          <w:color w:val="auto"/>
          <w:w w:val="105"/>
          <w:sz w:val="32"/>
          <w:szCs w:val="32"/>
          <w:highlight w:val="none"/>
          <w:lang w:val="en-US" w:eastAsia="zh-CN"/>
        </w:rPr>
        <w:t>四、其他低压客户（除</w:t>
      </w:r>
      <w:r>
        <w:rPr>
          <w:rFonts w:hint="eastAsia" w:ascii="方正黑体_GBK" w:hAnsi="方正黑体_GBK" w:eastAsia="方正黑体_GBK" w:cs="方正黑体_GBK"/>
          <w:color w:val="auto"/>
          <w:w w:val="105"/>
          <w:sz w:val="32"/>
          <w:szCs w:val="32"/>
          <w:highlight w:val="none"/>
          <w:lang w:eastAsia="zh-CN"/>
        </w:rPr>
        <w:t>电能替代、电动汽车充换电项目，低压小微企业、零散居民</w:t>
      </w:r>
      <w:r>
        <w:rPr>
          <w:rFonts w:hint="eastAsia" w:ascii="方正黑体_GBK" w:hAnsi="方正黑体_GBK" w:eastAsia="方正黑体_GBK" w:cs="方正黑体_GBK"/>
          <w:color w:val="auto"/>
          <w:w w:val="105"/>
          <w:sz w:val="32"/>
          <w:szCs w:val="32"/>
          <w:highlight w:val="none"/>
          <w:lang w:val="en-US" w:eastAsia="zh-CN"/>
        </w:rPr>
        <w:t>以外的</w:t>
      </w:r>
      <w:r>
        <w:rPr>
          <w:rFonts w:hint="eastAsia" w:ascii="方正黑体_GBK" w:hAnsi="方正黑体_GBK" w:eastAsia="方正黑体_GBK" w:cs="方正黑体_GBK"/>
          <w:color w:val="auto"/>
          <w:w w:val="105"/>
          <w:sz w:val="32"/>
          <w:szCs w:val="32"/>
          <w:highlight w:val="none"/>
          <w:lang w:eastAsia="zh-CN"/>
        </w:rPr>
        <w:t>客户</w:t>
      </w:r>
      <w:r>
        <w:rPr>
          <w:rFonts w:hint="eastAsia" w:ascii="方正黑体_GBK" w:hAnsi="方正黑体_GBK" w:eastAsia="方正黑体_GBK" w:cs="方正黑体_GBK"/>
          <w:color w:val="auto"/>
          <w:w w:val="105"/>
          <w:sz w:val="32"/>
          <w:szCs w:val="32"/>
          <w:highlight w:val="none"/>
          <w:lang w:val="en-US" w:eastAsia="zh-CN"/>
        </w:rPr>
        <w:t>）</w:t>
      </w:r>
    </w:p>
    <w:p>
      <w:pPr>
        <w:keepNext w:val="0"/>
        <w:keepLines w:val="0"/>
        <w:pageBreakBefore w:val="0"/>
        <w:widowControl w:val="0"/>
        <w:kinsoku/>
        <w:wordWrap/>
        <w:overflowPunct/>
        <w:topLinePunct w:val="0"/>
        <w:autoSpaceDE w:val="0"/>
        <w:autoSpaceDN w:val="0"/>
        <w:bidi w:val="0"/>
        <w:adjustRightInd/>
        <w:snapToGrid/>
        <w:spacing w:before="0" w:beforeAutospacing="0" w:after="0" w:afterAutospacing="0" w:line="560" w:lineRule="exact"/>
        <w:ind w:left="0" w:right="0" w:firstLine="664" w:firstLineChars="200"/>
        <w:jc w:val="both"/>
        <w:textAlignment w:val="auto"/>
        <w:outlineLvl w:val="9"/>
        <w:rPr>
          <w:rFonts w:hint="eastAsia" w:ascii="仿宋_GB2312" w:hAnsi="仿宋_GB2312" w:eastAsia="仿宋_GB2312" w:cs="仿宋_GB2312"/>
          <w:color w:val="auto"/>
          <w:w w:val="105"/>
          <w:sz w:val="32"/>
          <w:szCs w:val="32"/>
          <w:highlight w:val="none"/>
          <w:lang w:val="en-US" w:eastAsia="zh-CN"/>
        </w:rPr>
      </w:pPr>
      <w:r>
        <w:rPr>
          <w:rFonts w:hint="eastAsia" w:ascii="仿宋_GB2312" w:hAnsi="仿宋_GB2312" w:eastAsia="仿宋_GB2312" w:cs="仿宋_GB2312"/>
          <w:color w:val="auto"/>
          <w:spacing w:val="6"/>
          <w:sz w:val="32"/>
          <w:szCs w:val="32"/>
          <w:highlight w:val="none"/>
        </w:rPr>
        <w:t>以</w:t>
      </w:r>
      <w:r>
        <w:rPr>
          <w:rFonts w:hint="eastAsia" w:ascii="仿宋_GB2312" w:hAnsi="仿宋_GB2312" w:eastAsia="仿宋_GB2312" w:cs="仿宋_GB2312"/>
          <w:color w:val="auto"/>
          <w:spacing w:val="6"/>
          <w:sz w:val="32"/>
          <w:szCs w:val="32"/>
          <w:highlight w:val="none"/>
          <w:lang w:eastAsia="zh-CN"/>
        </w:rPr>
        <w:t>公共</w:t>
      </w:r>
      <w:r>
        <w:rPr>
          <w:rFonts w:hint="eastAsia" w:ascii="仿宋_GB2312" w:hAnsi="仿宋_GB2312" w:eastAsia="仿宋_GB2312" w:cs="仿宋_GB2312"/>
          <w:color w:val="auto"/>
          <w:spacing w:val="15"/>
          <w:sz w:val="32"/>
          <w:szCs w:val="32"/>
          <w:highlight w:val="none"/>
        </w:rPr>
        <w:t>连接点为分界</w:t>
      </w:r>
      <w:r>
        <w:rPr>
          <w:rFonts w:hint="eastAsia" w:ascii="仿宋_GB2312" w:hAnsi="仿宋_GB2312" w:eastAsia="仿宋_GB2312" w:cs="仿宋_GB2312"/>
          <w:color w:val="auto"/>
          <w:spacing w:val="5"/>
          <w:sz w:val="32"/>
          <w:szCs w:val="32"/>
          <w:highlight w:val="none"/>
        </w:rPr>
        <w:t>点，</w:t>
      </w:r>
      <w:r>
        <w:rPr>
          <w:rFonts w:hint="eastAsia" w:ascii="仿宋_GB2312" w:hAnsi="仿宋_GB2312" w:eastAsia="仿宋_GB2312" w:cs="仿宋_GB2312"/>
          <w:color w:val="auto"/>
          <w:sz w:val="32"/>
          <w:szCs w:val="32"/>
          <w:highlight w:val="none"/>
        </w:rPr>
        <w:t>分界点</w:t>
      </w:r>
      <w:r>
        <w:rPr>
          <w:rFonts w:hint="eastAsia" w:ascii="仿宋_GB2312" w:hAnsi="仿宋_GB2312" w:eastAsia="仿宋_GB2312" w:cs="仿宋_GB2312"/>
          <w:color w:val="auto"/>
          <w:sz w:val="32"/>
          <w:szCs w:val="32"/>
          <w:highlight w:val="none"/>
          <w:lang w:eastAsia="zh-CN"/>
        </w:rPr>
        <w:t>至客户建筑区划红线外</w:t>
      </w:r>
      <w:r>
        <w:rPr>
          <w:rFonts w:hint="eastAsia" w:ascii="仿宋_GB2312" w:hAnsi="仿宋_GB2312" w:eastAsia="仿宋_GB2312" w:cs="仿宋_GB2312"/>
          <w:color w:val="auto"/>
          <w:w w:val="105"/>
          <w:sz w:val="32"/>
          <w:szCs w:val="32"/>
          <w:highlight w:val="none"/>
          <w:lang w:eastAsia="zh-CN"/>
        </w:rPr>
        <w:t>第一断路器或第一支持物</w:t>
      </w:r>
      <w:r>
        <w:rPr>
          <w:rFonts w:hint="eastAsia" w:ascii="仿宋_GB2312" w:hAnsi="仿宋_GB2312" w:eastAsia="仿宋_GB2312" w:cs="仿宋_GB2312"/>
          <w:color w:val="auto"/>
          <w:sz w:val="32"/>
          <w:szCs w:val="32"/>
          <w:highlight w:val="none"/>
          <w:lang w:eastAsia="zh-CN"/>
        </w:rPr>
        <w:t>为电力接入工程政企费用分摊范围</w:t>
      </w:r>
      <w:r>
        <w:rPr>
          <w:rFonts w:hint="eastAsia" w:ascii="仿宋_GB2312" w:hAnsi="仿宋_GB2312" w:eastAsia="仿宋_GB2312" w:cs="仿宋_GB2312"/>
          <w:color w:val="auto"/>
          <w:sz w:val="32"/>
          <w:szCs w:val="32"/>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 w:hAnsi="仿宋" w:eastAsia="仿宋" w:cs="仿宋"/>
          <w:snapToGrid/>
          <w:color w:val="auto"/>
          <w:kern w:val="2"/>
          <w:sz w:val="32"/>
          <w:szCs w:val="32"/>
          <w:highlight w:val="none"/>
          <w:lang w:val="en-US" w:eastAsia="zh-CN" w:bidi="ar-SA"/>
        </w:rPr>
      </w:pPr>
      <w:r>
        <w:rPr>
          <w:rFonts w:hint="eastAsia" w:ascii="仿宋" w:hAnsi="仿宋" w:eastAsia="仿宋" w:cs="仿宋"/>
          <w:snapToGrid/>
          <w:color w:val="auto"/>
          <w:kern w:val="2"/>
          <w:sz w:val="32"/>
          <w:szCs w:val="32"/>
          <w:highlight w:val="none"/>
          <w:lang w:val="en-US" w:eastAsia="zh-CN" w:bidi="ar-SA"/>
        </w:rPr>
        <w:drawing>
          <wp:inline distT="0" distB="0" distL="114300" distR="114300">
            <wp:extent cx="5323840" cy="2752725"/>
            <wp:effectExtent l="0" t="0" r="10160" b="3175"/>
            <wp:docPr id="6" name="图片 5" descr="图片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图片5"/>
                    <pic:cNvPicPr>
                      <a:picLocks noChangeAspect="1"/>
                    </pic:cNvPicPr>
                  </pic:nvPicPr>
                  <pic:blipFill>
                    <a:blip r:embed="rId11"/>
                    <a:stretch>
                      <a:fillRect/>
                    </a:stretch>
                  </pic:blipFill>
                  <pic:spPr>
                    <a:xfrm>
                      <a:off x="0" y="0"/>
                      <a:ext cx="5323840" cy="2752725"/>
                    </a:xfrm>
                    <a:prstGeom prst="rect">
                      <a:avLst/>
                    </a:prstGeom>
                    <a:noFill/>
                    <a:ln>
                      <a:noFill/>
                    </a:ln>
                  </pic:spPr>
                </pic:pic>
              </a:graphicData>
            </a:graphic>
          </wp:inline>
        </w:drawing>
      </w:r>
    </w:p>
    <w:p>
      <w:pPr>
        <w:pStyle w:val="9"/>
        <w:autoSpaceDN w:val="0"/>
        <w:jc w:val="center"/>
        <w:textAlignment w:val="baseline"/>
        <w:rPr>
          <w:color w:val="auto"/>
        </w:rPr>
      </w:pPr>
      <w:r>
        <w:rPr>
          <w:rFonts w:hint="eastAsia" w:ascii="宋体" w:hAnsi="宋体"/>
          <w:color w:val="auto"/>
          <w:sz w:val="28"/>
          <w:szCs w:val="28"/>
        </w:rPr>
        <w:t>其他低压客户（除电能替代、电动汽车充换电项目，低压小微企业、零散居民</w:t>
      </w:r>
      <w:r>
        <w:rPr>
          <w:rFonts w:hint="eastAsia"/>
          <w:color w:val="auto"/>
          <w:sz w:val="28"/>
          <w:szCs w:val="28"/>
          <w:lang w:val="en-US" w:eastAsia="zh-CN"/>
        </w:rPr>
        <w:t>以外的</w:t>
      </w:r>
      <w:r>
        <w:rPr>
          <w:rFonts w:hint="eastAsia" w:ascii="宋体" w:hAnsi="宋体"/>
          <w:color w:val="auto"/>
          <w:sz w:val="28"/>
          <w:szCs w:val="28"/>
        </w:rPr>
        <w:t>客户）</w:t>
      </w:r>
      <w:r>
        <w:rPr>
          <w:rFonts w:hint="eastAsia"/>
          <w:color w:val="auto"/>
          <w:sz w:val="28"/>
          <w:szCs w:val="28"/>
          <w:lang w:eastAsia="zh-CN"/>
        </w:rPr>
        <w:t>电力接入工程政企费用分摊范围</w:t>
      </w:r>
      <w:r>
        <w:rPr>
          <w:rFonts w:hint="eastAsia" w:ascii="宋体" w:hAnsi="宋体"/>
          <w:color w:val="auto"/>
          <w:sz w:val="28"/>
          <w:szCs w:val="28"/>
        </w:rPr>
        <w:t>示意图</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80" w:lineRule="exact"/>
        <w:ind w:right="0" w:rightChars="0"/>
        <w:jc w:val="both"/>
        <w:textAlignment w:val="auto"/>
        <w:outlineLvl w:val="9"/>
        <w:rPr>
          <w:rFonts w:hint="eastAsia" w:ascii="仿宋" w:hAnsi="仿宋" w:eastAsia="仿宋" w:cs="仿宋"/>
          <w:snapToGrid/>
          <w:color w:val="auto"/>
          <w:kern w:val="2"/>
          <w:sz w:val="32"/>
          <w:szCs w:val="32"/>
          <w:highlight w:val="none"/>
          <w:lang w:val="en-US" w:eastAsia="zh-CN" w:bidi="ar-SA"/>
        </w:rPr>
      </w:pPr>
    </w:p>
    <w:p>
      <w:pPr>
        <w:pStyle w:val="2"/>
        <w:rPr>
          <w:rFonts w:hint="eastAsia" w:ascii="仿宋_GB2312" w:hAnsi="仿宋_GB2312" w:eastAsia="仿宋_GB2312" w:cs="仿宋_GB2312"/>
          <w:sz w:val="32"/>
          <w:szCs w:val="32"/>
          <w:lang w:eastAsia="zh-CN"/>
        </w:rPr>
      </w:pPr>
    </w:p>
    <w:p>
      <w:pPr>
        <w:pStyle w:val="2"/>
        <w:rPr>
          <w:rFonts w:hint="eastAsia" w:ascii="楷体" w:hAnsi="楷体" w:eastAsia="楷体" w:cs="楷体"/>
          <w:color w:val="auto"/>
          <w:w w:val="105"/>
          <w:sz w:val="32"/>
          <w:szCs w:val="32"/>
          <w:highlight w:val="none"/>
          <w:lang w:val="en-US" w:eastAsia="zh-CN"/>
        </w:rPr>
      </w:pPr>
    </w:p>
    <w:p>
      <w:bookmarkStart w:id="0" w:name="_GoBack"/>
      <w:bookmarkEnd w:id="0"/>
    </w:p>
    <w:sectPr>
      <w:footerReference r:id="rId5" w:type="default"/>
      <w:pgSz w:w="11906" w:h="16838"/>
      <w:pgMar w:top="1440" w:right="1800" w:bottom="1440" w:left="1800" w:header="851" w:footer="992" w:gutter="0"/>
      <w:pgNumType w:fmt="numberInDash" w:start="2"/>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altName w:val="微软雅黑"/>
    <w:panose1 w:val="02000000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2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6"/>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s0lY7tAAAAAFAQAADwAAAAAAAAABACAAAAAiAAAAZHJzL2Rv&#10;d25yZXYueG1sUEsBAhQAFAAAAAgAh07iQIvhV3XQAQAAogMAAA4AAAAAAAAAAQAgAAAAHwEAAGRy&#10;cy9lMm9Eb2MueG1sUEsFBgAAAAAGAAYAWQEAAGEFAAAAAA==&#10;">
              <v:path/>
              <v:fill on="f" focussize="0,0"/>
              <v:stroke on="f" weight="0.5pt"/>
              <v:imagedata o:title=""/>
              <o:lock v:ext="edit" aspectratio="f"/>
              <v:textbox inset="0mm,0mm,0mm,0mm" style="mso-fit-shape-to-text:t;">
                <w:txbxContent>
                  <w:p>
                    <w:pPr>
                      <w:pStyle w:val="6"/>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6"/>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NJWO7QAAAABQEAAA8AAAAAAAAAAQAgAAAAIgAAAGRycy9k&#10;b3ducmV2LnhtbFBLAQIUABQAAAAIAIdO4kCEDOSk0QEAAKIDAAAOAAAAAAAAAAEAIAAAAB8BAABk&#10;cnMvZTJvRG9jLnhtbFBLBQYAAAAABgAGAFkBAABiBQAAAAA=&#10;">
              <v:path/>
              <v:fill on="f" focussize="0,0"/>
              <v:stroke on="f" weight="0.5pt"/>
              <v:imagedata o:title=""/>
              <o:lock v:ext="edit" aspectratio="f"/>
              <v:textbox inset="0mm,0mm,0mm,0mm" style="mso-fit-shape-to-text:t;">
                <w:txbxContent>
                  <w:p>
                    <w:pPr>
                      <w:pStyle w:val="6"/>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xMDVhNGNiZTA2MmNkOGJkZjU3MTAyMGRlZWUxOWYifQ=="/>
  </w:docVars>
  <w:rsids>
    <w:rsidRoot w:val="00000000"/>
    <w:rsid w:val="398B68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paragraph" w:styleId="4">
    <w:name w:val="heading 1"/>
    <w:basedOn w:val="1"/>
    <w:next w:val="1"/>
    <w:qFormat/>
    <w:uiPriority w:val="0"/>
    <w:pPr>
      <w:ind w:left="1515"/>
      <w:outlineLvl w:val="0"/>
    </w:pPr>
    <w:rPr>
      <w:rFonts w:ascii="宋体" w:hAnsi="宋体" w:eastAsia="宋体" w:cs="宋体"/>
      <w:sz w:val="26"/>
      <w:szCs w:val="26"/>
    </w:rPr>
  </w:style>
  <w:style w:type="paragraph" w:styleId="5">
    <w:name w:val="heading 2"/>
    <w:basedOn w:val="4"/>
    <w:next w:val="1"/>
    <w:qFormat/>
    <w:uiPriority w:val="0"/>
    <w:pPr>
      <w:widowControl/>
      <w:spacing w:beforeAutospacing="1" w:afterLines="0" w:afterAutospacing="1"/>
      <w:outlineLvl w:val="1"/>
    </w:pPr>
    <w:rPr>
      <w:rFonts w:ascii="宋体" w:hAnsi="宋体" w:eastAsia="宋体" w:cs="Times New Roman"/>
      <w:kern w:val="0"/>
      <w:szCs w:val="36"/>
    </w:rPr>
  </w:style>
  <w:style w:type="character" w:default="1" w:styleId="8">
    <w:name w:val="Default Paragraph Font"/>
    <w:semiHidden/>
    <w:qFormat/>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rPr>
      <w:szCs w:val="21"/>
    </w:rPr>
  </w:style>
  <w:style w:type="paragraph" w:styleId="3">
    <w:name w:val="Body Text"/>
    <w:basedOn w:val="1"/>
    <w:qFormat/>
    <w:uiPriority w:val="0"/>
    <w:rPr>
      <w:rFonts w:ascii="宋体" w:hAnsi="宋体" w:eastAsia="宋体" w:cs="宋体"/>
      <w:sz w:val="24"/>
      <w:szCs w:val="24"/>
    </w:rPr>
  </w:style>
  <w:style w:type="paragraph" w:styleId="6">
    <w:name w:val="footer"/>
    <w:basedOn w:val="1"/>
    <w:qFormat/>
    <w:uiPriority w:val="0"/>
    <w:pPr>
      <w:tabs>
        <w:tab w:val="center" w:pos="4153"/>
        <w:tab w:val="right" w:pos="8306"/>
      </w:tabs>
      <w:snapToGrid w:val="0"/>
      <w:jc w:val="left"/>
    </w:pPr>
    <w:rPr>
      <w:rFonts w:ascii="Calibri" w:hAnsi="Calibri" w:eastAsia="宋体" w:cs="Times New Roman"/>
      <w:sz w:val="18"/>
    </w:rPr>
  </w:style>
  <w:style w:type="paragraph" w:customStyle="1" w:styleId="9">
    <w:name w:val="p0"/>
    <w:basedOn w:val="1"/>
    <w:qFormat/>
    <w:uiPriority w:val="0"/>
    <w:pPr>
      <w:widowControl/>
    </w:pPr>
    <w:rPr>
      <w:rFonts w:ascii="Calibri" w:hAnsi="Calibri" w:eastAsia="宋体" w:cs="Times New Roman"/>
      <w:kern w:val="0"/>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2022-10-31T08:24:20Z</dcterms:created>
  <dc:creator>Administrator</dc:creator>
  <cp:lastModifiedBy>Hello我是Kitty</cp:lastModifiedBy>
  <dcterms:modified xsi:type="dcterms:W3CDTF">2022-10-31T08:24:28Z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EBB49D9F44C645E996C88D4830B647CA</vt:lpwstr>
  </property>
</Properties>
</file>