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0" w:type="auto"/>
        <w:tblInd w:w="96" w:type="dxa"/>
        <w:tblLayout w:type="fixed"/>
        <w:tblCellMar>
          <w:top w:w="0" w:type="dxa"/>
          <w:left w:w="108" w:type="dxa"/>
          <w:bottom w:w="0" w:type="dxa"/>
          <w:right w:w="108" w:type="dxa"/>
        </w:tblCellMar>
      </w:tblPr>
      <w:tblGrid>
        <w:gridCol w:w="459"/>
        <w:gridCol w:w="1500"/>
        <w:gridCol w:w="7440"/>
        <w:gridCol w:w="1296"/>
        <w:gridCol w:w="2148"/>
      </w:tblGrid>
      <w:tr>
        <w:tblPrEx>
          <w:tblCellMar>
            <w:top w:w="0" w:type="dxa"/>
            <w:left w:w="108" w:type="dxa"/>
            <w:bottom w:w="0" w:type="dxa"/>
            <w:right w:w="108" w:type="dxa"/>
          </w:tblCellMar>
        </w:tblPrEx>
        <w:trPr>
          <w:trHeight w:val="444" w:hRule="atLeast"/>
        </w:trPr>
        <w:tc>
          <w:tcPr>
            <w:tcW w:w="12843" w:type="dxa"/>
            <w:gridSpan w:val="5"/>
            <w:tcBorders>
              <w:top w:val="nil"/>
              <w:left w:val="nil"/>
              <w:bottom w:val="single" w:color="000000" w:sz="4" w:space="0"/>
              <w:right w:val="nil"/>
            </w:tcBorders>
            <w:noWrap w:val="0"/>
            <w:vAlign w:val="center"/>
          </w:tcPr>
          <w:p>
            <w:pPr>
              <w:widowControl/>
              <w:spacing w:line="400" w:lineRule="exact"/>
              <w:jc w:val="left"/>
              <w:textAlignment w:val="center"/>
              <w:rPr>
                <w:rFonts w:hint="default" w:ascii="方正小标宋简体" w:hAnsi="方正小标宋简体" w:eastAsia="方正小标宋简体" w:cs="方正小标宋简体"/>
                <w:color w:val="000000"/>
                <w:kern w:val="0"/>
                <w:sz w:val="28"/>
                <w:szCs w:val="28"/>
                <w:lang w:val="en-US" w:eastAsia="zh-CN" w:bidi="ar"/>
              </w:rPr>
            </w:pPr>
            <w:r>
              <w:rPr>
                <w:rFonts w:hint="eastAsia" w:ascii="方正小标宋简体" w:hAnsi="方正小标宋简体" w:eastAsia="方正小标宋简体" w:cs="方正小标宋简体"/>
                <w:b/>
                <w:bCs/>
                <w:color w:val="000000"/>
                <w:kern w:val="0"/>
                <w:sz w:val="28"/>
                <w:szCs w:val="28"/>
                <w:lang w:eastAsia="zh-CN" w:bidi="ar"/>
              </w:rPr>
              <w:t>附件</w:t>
            </w:r>
            <w:r>
              <w:rPr>
                <w:rFonts w:hint="eastAsia" w:ascii="方正小标宋简体" w:hAnsi="方正小标宋简体" w:eastAsia="方正小标宋简体" w:cs="方正小标宋简体"/>
                <w:b/>
                <w:bCs/>
                <w:color w:val="000000"/>
                <w:kern w:val="0"/>
                <w:sz w:val="28"/>
                <w:szCs w:val="28"/>
                <w:lang w:val="en-US" w:eastAsia="zh-CN" w:bidi="ar"/>
              </w:rPr>
              <w:t>2</w:t>
            </w:r>
          </w:p>
          <w:p>
            <w:pPr>
              <w:widowControl/>
              <w:spacing w:line="400" w:lineRule="exact"/>
              <w:jc w:val="center"/>
              <w:textAlignment w:val="center"/>
              <w:rPr>
                <w:rFonts w:ascii="方正小标宋简体" w:hAnsi="方正小标宋简体" w:eastAsia="方正小标宋简体" w:cs="方正小标宋简体"/>
                <w:color w:val="000000"/>
                <w:sz w:val="18"/>
                <w:szCs w:val="18"/>
              </w:rPr>
            </w:pPr>
            <w:r>
              <w:rPr>
                <w:rFonts w:ascii="方正小标宋简体" w:hAnsi="方正小标宋简体" w:eastAsia="方正小标宋简体" w:cs="方正小标宋简体"/>
                <w:b/>
                <w:bCs/>
                <w:color w:val="000000"/>
                <w:kern w:val="0"/>
                <w:sz w:val="28"/>
                <w:szCs w:val="28"/>
                <w:lang w:bidi="ar"/>
              </w:rPr>
              <w:t>牡丹江市“十四五”数字政府建设实施方案重点任务责任分工表（专栏部分）</w:t>
            </w:r>
          </w:p>
        </w:tc>
      </w:tr>
      <w:tr>
        <w:tblPrEx>
          <w:tblCellMar>
            <w:top w:w="0" w:type="dxa"/>
            <w:left w:w="108" w:type="dxa"/>
            <w:bottom w:w="0" w:type="dxa"/>
            <w:right w:w="108" w:type="dxa"/>
          </w:tblCellMar>
        </w:tblPrEx>
        <w:trPr>
          <w:trHeight w:val="90" w:hRule="atLeast"/>
        </w:trPr>
        <w:tc>
          <w:tcPr>
            <w:tcW w:w="4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序号</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黑体" w:hAnsi="宋体" w:eastAsia="黑体" w:cs="黑体"/>
                <w:color w:val="000000"/>
                <w:sz w:val="18"/>
                <w:szCs w:val="18"/>
              </w:rPr>
            </w:pPr>
            <w:r>
              <w:rPr>
                <w:rFonts w:hint="eastAsia" w:ascii="黑体" w:hAnsi="宋体" w:eastAsia="黑体" w:cs="黑体"/>
                <w:color w:val="000000"/>
                <w:kern w:val="0"/>
                <w:sz w:val="18"/>
                <w:szCs w:val="18"/>
                <w:lang w:bidi="ar"/>
              </w:rPr>
              <w:t>方案专栏</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黑体" w:hAnsi="宋体" w:eastAsia="黑体" w:cs="黑体"/>
                <w:color w:val="000000"/>
                <w:sz w:val="18"/>
                <w:szCs w:val="18"/>
              </w:rPr>
            </w:pPr>
            <w:r>
              <w:rPr>
                <w:rFonts w:hint="eastAsia" w:ascii="黑体" w:hAnsi="宋体" w:eastAsia="黑体" w:cs="黑体"/>
                <w:color w:val="000000"/>
                <w:kern w:val="0"/>
                <w:sz w:val="18"/>
                <w:szCs w:val="18"/>
                <w:lang w:bidi="ar"/>
              </w:rPr>
              <w:t>重点任务</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黑体" w:hAnsi="宋体" w:eastAsia="黑体" w:cs="黑体"/>
                <w:color w:val="000000"/>
                <w:sz w:val="18"/>
                <w:szCs w:val="18"/>
              </w:rPr>
            </w:pPr>
            <w:r>
              <w:rPr>
                <w:rFonts w:hint="eastAsia" w:ascii="黑体" w:hAnsi="宋体" w:eastAsia="黑体" w:cs="黑体"/>
                <w:color w:val="000000"/>
                <w:kern w:val="0"/>
                <w:sz w:val="18"/>
                <w:szCs w:val="18"/>
                <w:lang w:bidi="ar"/>
              </w:rPr>
              <w:t>牵头单位</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黑体" w:hAnsi="宋体" w:eastAsia="黑体" w:cs="黑体"/>
                <w:color w:val="000000"/>
                <w:sz w:val="18"/>
                <w:szCs w:val="18"/>
              </w:rPr>
            </w:pPr>
            <w:r>
              <w:rPr>
                <w:rFonts w:hint="eastAsia" w:ascii="黑体" w:hAnsi="宋体" w:eastAsia="黑体" w:cs="黑体"/>
                <w:color w:val="000000"/>
                <w:kern w:val="0"/>
                <w:sz w:val="18"/>
                <w:szCs w:val="18"/>
                <w:lang w:bidi="ar"/>
              </w:rPr>
              <w:t>责任单位</w:t>
            </w:r>
          </w:p>
        </w:tc>
      </w:tr>
      <w:tr>
        <w:tblPrEx>
          <w:tblCellMar>
            <w:top w:w="0" w:type="dxa"/>
            <w:left w:w="108" w:type="dxa"/>
            <w:bottom w:w="0" w:type="dxa"/>
            <w:right w:w="108" w:type="dxa"/>
          </w:tblCellMar>
        </w:tblPrEx>
        <w:trPr>
          <w:trHeight w:val="398" w:hRule="atLeast"/>
        </w:trPr>
        <w:tc>
          <w:tcPr>
            <w:tcW w:w="12843"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r>
              <w:rPr>
                <w:rFonts w:hint="eastAsia" w:ascii="宋体" w:hAnsi="宋体"/>
                <w:b/>
                <w:bCs/>
                <w:color w:val="000000"/>
                <w:kern w:val="0"/>
                <w:sz w:val="18"/>
                <w:szCs w:val="18"/>
                <w:lang w:bidi="ar"/>
              </w:rPr>
              <w:t>二、“十四五”时期数字政府建设发展主要任务</w:t>
            </w:r>
          </w:p>
        </w:tc>
      </w:tr>
      <w:tr>
        <w:tblPrEx>
          <w:tblCellMar>
            <w:top w:w="0" w:type="dxa"/>
            <w:left w:w="108" w:type="dxa"/>
            <w:bottom w:w="0" w:type="dxa"/>
            <w:right w:w="108" w:type="dxa"/>
          </w:tblCellMar>
        </w:tblPrEx>
        <w:trPr>
          <w:trHeight w:val="348" w:hRule="atLeast"/>
        </w:trPr>
        <w:tc>
          <w:tcPr>
            <w:tcW w:w="12843"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r>
              <w:rPr>
                <w:rFonts w:hint="eastAsia" w:ascii="宋体" w:hAnsi="宋体"/>
                <w:b/>
                <w:bCs/>
                <w:color w:val="000000"/>
                <w:kern w:val="0"/>
                <w:sz w:val="18"/>
                <w:szCs w:val="18"/>
                <w:lang w:bidi="ar"/>
              </w:rPr>
              <w:t>(二)构建全市一体化数字基础设施体系</w:t>
            </w:r>
          </w:p>
        </w:tc>
      </w:tr>
      <w:tr>
        <w:tblPrEx>
          <w:tblCellMar>
            <w:top w:w="0" w:type="dxa"/>
            <w:left w:w="108" w:type="dxa"/>
            <w:bottom w:w="0" w:type="dxa"/>
            <w:right w:w="108" w:type="dxa"/>
          </w:tblCellMar>
        </w:tblPrEx>
        <w:trPr>
          <w:trHeight w:val="1242" w:hRule="atLeast"/>
        </w:trPr>
        <w:tc>
          <w:tcPr>
            <w:tcW w:w="4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专栏1　电子政务外网优化升级工程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电子政务外网升级整合。有序推进政务外网骨干网和横向城域网带宽扩容，加快建设、升级运维管理平台和安全监测平台，推进非涉密专网与政务外网的融合，提升政务外网的整体服务能力</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市财政局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022" w:hRule="atLeast"/>
        </w:trPr>
        <w:tc>
          <w:tcPr>
            <w:tcW w:w="4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2</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专栏2　市电子政务云平台优化升级工程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一体化政务云监管平台建设。依托市级政务云资源架构，建设一体化政务云监管平台，对政务云服务质量和资源使用率进行统一监管，提升政务云精细化管理能力</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330" w:hRule="atLeast"/>
        </w:trPr>
        <w:tc>
          <w:tcPr>
            <w:tcW w:w="12843"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1" w:firstLineChars="200"/>
              <w:jc w:val="center"/>
              <w:rPr>
                <w:rFonts w:hint="eastAsia" w:ascii="宋体" w:hAnsi="宋体"/>
                <w:color w:val="000000"/>
                <w:sz w:val="18"/>
                <w:szCs w:val="18"/>
              </w:rPr>
            </w:pPr>
            <w:r>
              <w:rPr>
                <w:rFonts w:hint="eastAsia" w:ascii="宋体" w:hAnsi="宋体"/>
                <w:b/>
                <w:bCs/>
                <w:color w:val="000000"/>
                <w:kern w:val="0"/>
                <w:sz w:val="18"/>
                <w:szCs w:val="18"/>
                <w:lang w:bidi="ar"/>
              </w:rPr>
              <w:t>(三)构建全市一体化政务数据体系</w:t>
            </w:r>
          </w:p>
        </w:tc>
      </w:tr>
      <w:tr>
        <w:tblPrEx>
          <w:tblCellMar>
            <w:top w:w="0" w:type="dxa"/>
            <w:left w:w="108" w:type="dxa"/>
            <w:bottom w:w="0" w:type="dxa"/>
            <w:right w:w="108" w:type="dxa"/>
          </w:tblCellMar>
        </w:tblPrEx>
        <w:trPr>
          <w:trHeight w:val="1398" w:hRule="atLeast"/>
        </w:trPr>
        <w:tc>
          <w:tcPr>
            <w:tcW w:w="4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3</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专栏3　政务数据资源管理优化升级工程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政务数据资源查询平台建设。以应用场景为基础，按照“需求导向”原则，利用数据工具将共享平台内的各类数据资源，通过数据查询平台提供各部门按需使用。同时，对平台使用权限、组织机构进行统一划分管理，便于掌握数据使用流向，提升数据使用效率和范围，促进数据便捷应用</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46" w:hRule="atLeast"/>
        </w:trPr>
        <w:tc>
          <w:tcPr>
            <w:tcW w:w="4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4</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专栏4　全市一体化政务大数据平台工程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加强基础数据库建设。加快完善人口基础数据库、法人基础数据库、电子证照数据库、自然资源和地理空间基础数据库、信用基础数据库建设、汇聚市级各业务部门相关数据项建立与国家、省级相关数据模型比对机制、确保数据的完整、准确、鲜活</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市公安局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市自然资源局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市市场监管局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142" w:hRule="atLeast"/>
        </w:trPr>
        <w:tc>
          <w:tcPr>
            <w:tcW w:w="4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5</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专栏5　市政务数据共享平台优化升级工程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完善市级政务数据共享平台。打通数据共享通道，建成向上联通省、向下对接县（市）区、横向连接市直部门的政务数据共享交换通道，推动政务数据按需申请共享</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434" w:hRule="atLeast"/>
        </w:trPr>
        <w:tc>
          <w:tcPr>
            <w:tcW w:w="4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6</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专栏6　数据要素价值挖掘工程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建设全市公共数据开放平台。围绕推动公共交通、路政管理、卫生医疗、养老、供电等重点领域，建成全市公共数据开放平台，通过开放数据集、提供数据接口、数据沙箱等方式，优先推动对于民生服务、社会治理和产业发展具有重要价值的数据集向社会开放</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市民政局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市交通运输局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市卫健委</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市医保局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国网牡丹江供电公司</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348" w:hRule="atLeast"/>
        </w:trPr>
        <w:tc>
          <w:tcPr>
            <w:tcW w:w="12843"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1" w:firstLineChars="200"/>
              <w:jc w:val="center"/>
              <w:rPr>
                <w:rFonts w:hint="eastAsia" w:ascii="宋体" w:hAnsi="宋体"/>
                <w:color w:val="000000"/>
                <w:sz w:val="18"/>
                <w:szCs w:val="18"/>
              </w:rPr>
            </w:pPr>
            <w:r>
              <w:rPr>
                <w:rFonts w:hint="eastAsia" w:ascii="宋体" w:hAnsi="宋体"/>
                <w:b/>
                <w:bCs/>
                <w:color w:val="000000"/>
                <w:kern w:val="0"/>
                <w:sz w:val="18"/>
                <w:szCs w:val="18"/>
                <w:lang w:bidi="ar"/>
              </w:rPr>
              <w:t>(四)构建全市一体化公共支撑体系</w:t>
            </w:r>
          </w:p>
        </w:tc>
      </w:tr>
      <w:tr>
        <w:tblPrEx>
          <w:tblCellMar>
            <w:top w:w="0" w:type="dxa"/>
            <w:left w:w="108" w:type="dxa"/>
            <w:bottom w:w="0" w:type="dxa"/>
            <w:right w:w="108" w:type="dxa"/>
          </w:tblCellMar>
        </w:tblPrEx>
        <w:trPr>
          <w:trHeight w:val="1486" w:hRule="atLeast"/>
        </w:trPr>
        <w:tc>
          <w:tcPr>
            <w:tcW w:w="4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7</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专栏7　全市公共支撑能力优化升级工程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优化升级支撑平台功能。推进电子印章系统、电子证照平台等升级改造。加强电子签名在高频政务服务场景中的应用，加强电子证照在政务服务领域的全面应用</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市营商局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市公安局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市市场监管局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市财政局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348" w:hRule="atLeast"/>
        </w:trPr>
        <w:tc>
          <w:tcPr>
            <w:tcW w:w="12843"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1" w:firstLineChars="200"/>
              <w:jc w:val="center"/>
              <w:rPr>
                <w:rFonts w:hint="eastAsia" w:ascii="宋体" w:hAnsi="宋体"/>
                <w:color w:val="000000"/>
                <w:sz w:val="18"/>
                <w:szCs w:val="18"/>
              </w:rPr>
            </w:pPr>
            <w:r>
              <w:rPr>
                <w:rFonts w:hint="eastAsia" w:ascii="宋体" w:hAnsi="宋体"/>
                <w:b/>
                <w:bCs/>
                <w:color w:val="000000"/>
                <w:kern w:val="0"/>
                <w:sz w:val="18"/>
                <w:szCs w:val="18"/>
                <w:lang w:bidi="ar"/>
              </w:rPr>
              <w:t>(五)构建全市一体化安全防护体系</w:t>
            </w:r>
          </w:p>
        </w:tc>
      </w:tr>
      <w:tr>
        <w:tblPrEx>
          <w:tblCellMar>
            <w:top w:w="0" w:type="dxa"/>
            <w:left w:w="108" w:type="dxa"/>
            <w:bottom w:w="0" w:type="dxa"/>
            <w:right w:w="108" w:type="dxa"/>
          </w:tblCellMar>
        </w:tblPrEx>
        <w:trPr>
          <w:trHeight w:val="1136" w:hRule="atLeast"/>
        </w:trPr>
        <w:tc>
          <w:tcPr>
            <w:tcW w:w="45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8</w:t>
            </w:r>
          </w:p>
        </w:tc>
        <w:tc>
          <w:tcPr>
            <w:tcW w:w="150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专栏8　一体化安全防护建设工程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建设统一安全运营支撑平台。以数字基础设施、公共支撑平台为重点，建设安全运营支撑平台，提升内外部风险感知、攻击检测分析、违规行为发现、应急事件响应和态势感知预警能力</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市营商局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市公安局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市委网信办</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466" w:hRule="atLeast"/>
        </w:trPr>
        <w:tc>
          <w:tcPr>
            <w:tcW w:w="4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推进密码资源应用。建设安全领先、整体合规的密码基础设施和密码服务体系，完善商用密码应用安全性评估体系，推进已建网络和信息系统密码应用改造，实现密码在网络安全等级保护三级及以上政务信息系统、关键基础设施等重要网络和系统中的全面应用</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市营商局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市国家密码管理局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348" w:hRule="atLeast"/>
        </w:trPr>
        <w:tc>
          <w:tcPr>
            <w:tcW w:w="12843"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1" w:firstLineChars="200"/>
              <w:jc w:val="center"/>
              <w:rPr>
                <w:rFonts w:hint="eastAsia" w:ascii="宋体" w:hAnsi="宋体"/>
                <w:color w:val="000000"/>
                <w:sz w:val="18"/>
                <w:szCs w:val="18"/>
              </w:rPr>
            </w:pPr>
            <w:r>
              <w:rPr>
                <w:rFonts w:hint="eastAsia" w:ascii="宋体" w:hAnsi="宋体"/>
                <w:b/>
                <w:bCs/>
                <w:color w:val="000000"/>
                <w:kern w:val="0"/>
                <w:sz w:val="18"/>
                <w:szCs w:val="18"/>
                <w:lang w:bidi="ar"/>
              </w:rPr>
              <w:t>(六)构建智能高效的政府运行体系</w:t>
            </w:r>
          </w:p>
        </w:tc>
      </w:tr>
      <w:tr>
        <w:tblPrEx>
          <w:tblCellMar>
            <w:top w:w="0" w:type="dxa"/>
            <w:left w:w="108" w:type="dxa"/>
            <w:bottom w:w="0" w:type="dxa"/>
            <w:right w:w="108" w:type="dxa"/>
          </w:tblCellMar>
        </w:tblPrEx>
        <w:trPr>
          <w:trHeight w:val="2484" w:hRule="atLeast"/>
        </w:trPr>
        <w:tc>
          <w:tcPr>
            <w:tcW w:w="4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9</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专栏9　政府门户网站集约化建设工程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建设全市政府网站与新媒体集约化平台。统一建设全市集约化管理平台，提供政府网站建设、应用系统开发、在线应用开发和外延政务系统对接功能；统筹建设全市统一信息资源库和内容发布系统、统一政府信息公开平台、市级政策文件库、市级平台政府网站问答知识库和市级平台政府网站统一智能搜索、统一智能问答，实现一网通查、一网通答。深化推动各级政务部门网站、政务服务门户、政务类移动客户端IPv6升级改造，加强对政府网站指导检查，确保IPv6支持要求落实到位。完成市直部门政府网站迁移工作</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市政府办</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90" w:hRule="atLeast"/>
        </w:trPr>
        <w:tc>
          <w:tcPr>
            <w:tcW w:w="45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10</w:t>
            </w:r>
          </w:p>
        </w:tc>
        <w:tc>
          <w:tcPr>
            <w:tcW w:w="150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专栏10　党政机关管理数字化工程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深化数字财政建设。建设全市财政一体化系统，以项目库和基础信息库为支撑，实现横向整合预算编制、预算执行、账务处理、绩效管理等业务环节，纵向贯通国家、省、县（市）区各级财政预算管理，形成顺向逐级控制和逆向实时反馈的完整闭环管理</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市财政局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420" w:hRule="atLeast"/>
        </w:trPr>
        <w:tc>
          <w:tcPr>
            <w:tcW w:w="4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建设档案管理服务平台。按照“存量数字化、增量电子化”的原则，建设档案数字资源库。推进电子文件归档和电子档案管理工作，实现电子文件从形成到归档全周期全流程管理。对接全省一体化在线政务服务平台和全省档案信息资源共享平台，实现省、市、县三级国家档案馆互联互通，推进档案信息资源跨层级、跨部门共享利用。建立档案数据安全防护体系，确保电子档案的真实性、完整性、可用性和安全性</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市档案局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市档案馆</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348" w:hRule="atLeast"/>
        </w:trPr>
        <w:tc>
          <w:tcPr>
            <w:tcW w:w="12843"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1" w:firstLineChars="200"/>
              <w:jc w:val="center"/>
              <w:rPr>
                <w:rFonts w:hint="eastAsia" w:ascii="宋体" w:hAnsi="宋体"/>
                <w:color w:val="000000"/>
                <w:sz w:val="18"/>
                <w:szCs w:val="18"/>
              </w:rPr>
            </w:pPr>
            <w:r>
              <w:rPr>
                <w:rFonts w:hint="eastAsia" w:ascii="宋体" w:hAnsi="宋体"/>
                <w:b/>
                <w:bCs/>
                <w:color w:val="000000"/>
                <w:kern w:val="0"/>
                <w:sz w:val="18"/>
                <w:szCs w:val="18"/>
                <w:lang w:bidi="ar"/>
              </w:rPr>
              <w:t>(七)强化便民惠企的公共服务体系</w:t>
            </w:r>
          </w:p>
        </w:tc>
      </w:tr>
      <w:tr>
        <w:tblPrEx>
          <w:tblCellMar>
            <w:top w:w="0" w:type="dxa"/>
            <w:left w:w="108" w:type="dxa"/>
            <w:bottom w:w="0" w:type="dxa"/>
            <w:right w:w="108" w:type="dxa"/>
          </w:tblCellMar>
        </w:tblPrEx>
        <w:trPr>
          <w:trHeight w:val="90" w:hRule="atLeast"/>
        </w:trPr>
        <w:tc>
          <w:tcPr>
            <w:tcW w:w="45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11</w:t>
            </w:r>
          </w:p>
        </w:tc>
        <w:tc>
          <w:tcPr>
            <w:tcW w:w="150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专栏11　政务服务“一网通办”优化升级工程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深化一体化在线政务服务平台。依托一体化在线政务服务平台全面推进与国垂、省垂业务信息系统对接，建设统一申办受理系统，推动线上线下多渠道综合受理服务。建设个人与法人用户专属空间，推进“一人一企一档”建设，为企业和群众打造个性化专属数据空间。加快推动与12345热线、“互联网+监管”“好差评”等系统平台对接，持续推广电子证照、电子签章等拓展应用</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230" w:hRule="atLeast"/>
        </w:trPr>
        <w:tc>
          <w:tcPr>
            <w:tcW w:w="4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建设全市统一12345热线服务运行平台。实现与省级12345热线、全市一体化在线政务服务平台、“好差评”系统及部门业务系统互联互通和信息共享，向同级有关部门实时推送受理信息、工单记录、回访评价等所需全量数据</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市营商局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790" w:hRule="atLeast"/>
        </w:trPr>
        <w:tc>
          <w:tcPr>
            <w:tcW w:w="4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12</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专栏12　惠企服务应用拓展工程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推动智慧税务建设。驱动税务执法、服务、监管制度创新和业务变革，进一步优化组织体系和资源配置，深入推进对纳税人缴费人行为的自动分析管理、对税务人员履责的全过程自控考核考评、对税务决策信息和任务的自主分类推送，实现税务执法、服务、监管与大数据智能化应用深度融合、高效联动、全面升级</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市税务局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2058" w:hRule="atLeast"/>
        </w:trPr>
        <w:tc>
          <w:tcPr>
            <w:tcW w:w="45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13</w:t>
            </w:r>
          </w:p>
        </w:tc>
        <w:tc>
          <w:tcPr>
            <w:tcW w:w="150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专栏13　便民服务应用拓展工程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深化“互联网+医疗健康养老”建设。建设升级全民健康信息平台，强化人口、公共卫生、医疗服务、医疗保障、药品供应、综合管理等数据采集，实现全民健康信息共享应用，促进医疗服务与健康管理数据在各级各类医疗卫生机构及管理部门之间的联通共享和业务协同。建设医养健康智慧服务平台，实现多方式受理、统一评估、一证通办、线上支付及严格监管，为老人提供居家社区养老、机构养老、康养结合、医养结合等服务</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市卫健委</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市医保局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市民政局</w:t>
            </w:r>
          </w:p>
        </w:tc>
      </w:tr>
      <w:tr>
        <w:tblPrEx>
          <w:tblCellMar>
            <w:top w:w="0" w:type="dxa"/>
            <w:left w:w="108" w:type="dxa"/>
            <w:bottom w:w="0" w:type="dxa"/>
            <w:right w:w="108" w:type="dxa"/>
          </w:tblCellMar>
        </w:tblPrEx>
        <w:trPr>
          <w:trHeight w:val="1544" w:hRule="atLeast"/>
        </w:trPr>
        <w:tc>
          <w:tcPr>
            <w:tcW w:w="4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深化“互联网+教育”一体化建设。建设“互联网+教育”大平台，整合各级各类教育资源公共服务平台和支持系统，建立统一的教育公共信息服务门户，健全数据治理的制度机制，建成各级各类优质教育资源库，为全体学习者提供优质的学习资源服务。统筹规划建设教育行政能力业务系统，提升全市教育一体化、智能化管理能力</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市教育局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1874" w:hRule="atLeast"/>
        </w:trPr>
        <w:tc>
          <w:tcPr>
            <w:tcW w:w="4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深化“互联网+人社”一体化建设。依托省级人社服务一体化平台，加强内部业务系统整合与数据归集共享，推动与省对接、应用，实现全服务上网、全数据共享、全业务用卡。依托社会保障卡的身份认证、缴费支付、就医结算等功能，在人社领域实现身份凭证用卡、人社缴费凭卡、补贴待遇进卡、工伤结算持卡</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市人社局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2210" w:hRule="atLeast"/>
        </w:trPr>
        <w:tc>
          <w:tcPr>
            <w:tcW w:w="4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深化“互联网+医保”一体化建设。结合全省医疗保障信息平台建设规划，建设全市医疗保障信息平台综合监管子系统，对医保基金运行、医疗服务行为进行全面监管，完善医疗保障费用监控预警机制，监督和引导定点医药机构规范医药服务行为；建设全市医疗保障信息平台药品和医用耗材招采管理子系统，为医保部门药品和医用耗材招标采购工作提供数据支持，强化全市统一的医保药品和医用耗材的招采管理与监控。利用“互联网+”技术，“让数据多跑腿，让群众少跑路”，打造“掌上医保办事中心”“指尖上的医保服务中心”</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市医保局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1810" w:hRule="atLeast"/>
        </w:trPr>
        <w:tc>
          <w:tcPr>
            <w:tcW w:w="4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深化“互联网+民政”一体化建设。建设一体化民政政务服务大系统，结合“金民工程”、国家社会组织法人基础信息库等国家级重点信息化建设项目，全面集成儿童福利、精准救助、婚姻管理、殡葬管理、社会组织法人登记、区划地名、社区治理、社工服务、慈善捐赠、统计分析、大数据分析、协同共享、基础数据库、运维管理等应用模块，形成深度融合、上下联动、纵横协同的民政政务服务大系统</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市民政局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1406" w:hRule="atLeast"/>
        </w:trPr>
        <w:tc>
          <w:tcPr>
            <w:tcW w:w="4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14</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专栏13　便民服务应用拓展工程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深化“互联网+退役军人服务”建设。构建全业务多渠道移动政务服务平台，实现退役军人政务事项“一网通办”。探索优抚医疗、军休康养等服务资源数字化平台建设，满足退役军人多层次个性需求。建立市退役军人事务综合管理平台，有效利用各类政务信息资源，加大系统整合力度，推动业务流程再造，实现退役军人事务工作全市协同</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市退役军人事务局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中省市直各有关单位</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348" w:hRule="atLeast"/>
        </w:trPr>
        <w:tc>
          <w:tcPr>
            <w:tcW w:w="12843"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1" w:firstLineChars="200"/>
              <w:jc w:val="center"/>
              <w:rPr>
                <w:rFonts w:hint="eastAsia" w:ascii="宋体" w:hAnsi="宋体"/>
                <w:color w:val="000000"/>
                <w:sz w:val="18"/>
                <w:szCs w:val="18"/>
              </w:rPr>
            </w:pPr>
            <w:r>
              <w:rPr>
                <w:rFonts w:hint="eastAsia" w:ascii="宋体" w:hAnsi="宋体"/>
                <w:b/>
                <w:bCs/>
                <w:color w:val="000000"/>
                <w:kern w:val="0"/>
                <w:sz w:val="18"/>
                <w:szCs w:val="18"/>
                <w:lang w:bidi="ar"/>
              </w:rPr>
              <w:t>(八)建立公平公正的智慧监管体系</w:t>
            </w:r>
          </w:p>
        </w:tc>
      </w:tr>
      <w:tr>
        <w:tblPrEx>
          <w:tblCellMar>
            <w:top w:w="0" w:type="dxa"/>
            <w:left w:w="108" w:type="dxa"/>
            <w:bottom w:w="0" w:type="dxa"/>
            <w:right w:w="108" w:type="dxa"/>
          </w:tblCellMar>
        </w:tblPrEx>
        <w:trPr>
          <w:trHeight w:val="270" w:hRule="atLeast"/>
        </w:trPr>
        <w:tc>
          <w:tcPr>
            <w:tcW w:w="459" w:type="dxa"/>
            <w:vMerge w:val="restart"/>
            <w:tcBorders>
              <w:top w:val="single" w:color="000000" w:sz="4" w:space="0"/>
              <w:left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15</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专栏14　“互联网+监管”系统应用工程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深化“互联网+监管”系统应用。按照国家、省整体部署，持续深化“互联网+监管”系统应用，持续梳理优化监管事项目录清单，建设完善监管事项、监管对象、监管行为、执法人员、信用信息、投诉举报等监管数据库。实现与国家、省平台数据共享和业务协同，建立健全“互联网+监管”系统与“双随机、一公开”系统、信用信息系统及行政执法系统数据汇聚机制，加强各级、各部门的监管业务、政务服务、投诉举报、互联网及第三方数据等数据资源归集</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市营商局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市司法局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市市场监管局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270" w:hRule="atLeast"/>
        </w:trPr>
        <w:tc>
          <w:tcPr>
            <w:tcW w:w="459" w:type="dxa"/>
            <w:vMerge w:val="continue"/>
            <w:tcBorders>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ascii="宋体" w:hAnsi="宋体"/>
                <w:color w:val="000000"/>
                <w:kern w:val="0"/>
                <w:sz w:val="18"/>
                <w:szCs w:val="18"/>
                <w:lang w:bidi="ar"/>
              </w:rPr>
            </w:pPr>
            <w:r>
              <w:rPr>
                <w:rFonts w:hint="eastAsia" w:ascii="宋体" w:hAnsi="宋体"/>
                <w:color w:val="000000"/>
                <w:kern w:val="0"/>
                <w:sz w:val="18"/>
                <w:szCs w:val="18"/>
                <w:lang w:bidi="ar"/>
              </w:rPr>
              <w:t>专栏15　市场数字化监管深化工程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优化升级智慧药品监管系统。加快推动药品监管业务数据库建设，建立覆盖药品、医疗器械和化妆品全生命周期的品种档案，逐步实现“一品一档”“一企一档”。全面实施疫苗电子追溯制度</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市市场监管局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348" w:hRule="atLeast"/>
        </w:trPr>
        <w:tc>
          <w:tcPr>
            <w:tcW w:w="12843"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1" w:firstLineChars="200"/>
              <w:jc w:val="center"/>
              <w:rPr>
                <w:rFonts w:hint="eastAsia" w:ascii="宋体" w:hAnsi="宋体"/>
                <w:color w:val="000000"/>
                <w:sz w:val="18"/>
                <w:szCs w:val="18"/>
              </w:rPr>
            </w:pPr>
            <w:r>
              <w:rPr>
                <w:rFonts w:hint="eastAsia" w:ascii="宋体" w:hAnsi="宋体"/>
                <w:b/>
                <w:bCs/>
                <w:color w:val="000000"/>
                <w:kern w:val="0"/>
                <w:sz w:val="18"/>
                <w:szCs w:val="18"/>
                <w:lang w:bidi="ar"/>
              </w:rPr>
              <w:t>(九)构筑智能协同的生态银行体系</w:t>
            </w:r>
          </w:p>
        </w:tc>
      </w:tr>
      <w:tr>
        <w:tblPrEx>
          <w:tblCellMar>
            <w:top w:w="0" w:type="dxa"/>
            <w:left w:w="108" w:type="dxa"/>
            <w:bottom w:w="0" w:type="dxa"/>
            <w:right w:w="108" w:type="dxa"/>
          </w:tblCellMar>
        </w:tblPrEx>
        <w:trPr>
          <w:trHeight w:val="1714" w:hRule="atLeast"/>
        </w:trPr>
        <w:tc>
          <w:tcPr>
            <w:tcW w:w="459" w:type="dxa"/>
            <w:vMerge w:val="restart"/>
            <w:tcBorders>
              <w:top w:val="single" w:color="000000" w:sz="4" w:space="0"/>
              <w:left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16</w:t>
            </w:r>
          </w:p>
        </w:tc>
        <w:tc>
          <w:tcPr>
            <w:tcW w:w="1500" w:type="dxa"/>
            <w:vMerge w:val="restart"/>
            <w:tcBorders>
              <w:top w:val="single" w:color="000000" w:sz="4" w:space="0"/>
              <w:left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专栏16　生态环境数字化治理工程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建设生态环境监测大数据平台。整合各部门生态环境数据资源和业务管理系统，建设生态环境监测大数据平台，构建四维一体的生态环境专题地图，提升对大气、水、土壤、温室气体、噪声、辐射、生态状况等环境要素及各种污染源全面感知能力，实现全市生态环境一张图展示、可视化监管、精准预警</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市生态环境局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90" w:hRule="atLeast"/>
        </w:trPr>
        <w:tc>
          <w:tcPr>
            <w:tcW w:w="459" w:type="dxa"/>
            <w:vMerge w:val="continue"/>
            <w:tcBorders>
              <w:left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500" w:type="dxa"/>
            <w:vMerge w:val="continue"/>
            <w:tcBorders>
              <w:left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持续推进生态保护红线监管平台建设。建设全市污染源数字化档案库，实现全市各类污染源管理“一源一档”全覆盖。持续推进生态保护红线监管平台建设，建设“天地一体化”生态保护红线空间信息数据资源库，逐步形成生态保护红线“一张图”</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市生态环境局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822" w:hRule="atLeast"/>
        </w:trPr>
        <w:tc>
          <w:tcPr>
            <w:tcW w:w="459" w:type="dxa"/>
            <w:vMerge w:val="continue"/>
            <w:tcBorders>
              <w:left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p>
        </w:tc>
        <w:tc>
          <w:tcPr>
            <w:tcW w:w="1500" w:type="dxa"/>
            <w:vMerge w:val="continue"/>
            <w:tcBorders>
              <w:left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推进企业环境信息强制性披露系统建设。构建市级环境信息披露数据库，形成环境信息依法披露的“数据服务链”，实现环保部门上下数据报送及企业与环保部门之间的数据流通机制</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市生态环境局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1088" w:hRule="atLeast"/>
        </w:trPr>
        <w:tc>
          <w:tcPr>
            <w:tcW w:w="459" w:type="dxa"/>
            <w:vMerge w:val="continue"/>
            <w:tcBorders>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500" w:type="dxa"/>
            <w:vMerge w:val="continue"/>
            <w:tcBorders>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拓展生态环境移动执法系统功能。推进指挥调度、执法检查、案件办理、稽查考核一体化，行政处罚全过程记录。构建秸秆焚烧监察执法系统，打通从空中卫星监测到地面监管执法的“最后一公里”</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市生态环境局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1572" w:hRule="atLeast"/>
        </w:trPr>
        <w:tc>
          <w:tcPr>
            <w:tcW w:w="45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17</w:t>
            </w:r>
          </w:p>
        </w:tc>
        <w:tc>
          <w:tcPr>
            <w:tcW w:w="150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专栏17　自然资源数字化价值化创新工程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构建自然资源云上全域大数据体系。建设生态修复及全域土地综合整治应用系统，汇聚“小兴安岭—三江平原”山水林田湖草生态保护修复等试点工程大数据，形成一体化保护监测和修复治理“一张图”。建设自然资源执法监察基础数据库，构建覆盖执法全过程的自然资源执法监察动态监测系统</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市自然资源局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90" w:hRule="atLeast"/>
        </w:trPr>
        <w:tc>
          <w:tcPr>
            <w:tcW w:w="4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建设自然资源资产（生态银行）管理系统。围绕推动“资源—资产—资本—财富”转化，建设涵盖自然资源资产清查、核算、评估和负债表编制、资产报告等功能管理系统，对自然资源资产实行清单管理，生成可供开发的自然资源核心清单及项目库，推动生态产品交易平台建设，实现自然资源数据与数字经济深度融合</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市自然资源局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1264" w:hRule="atLeast"/>
        </w:trPr>
        <w:tc>
          <w:tcPr>
            <w:tcW w:w="45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18</w:t>
            </w:r>
          </w:p>
        </w:tc>
        <w:tc>
          <w:tcPr>
            <w:tcW w:w="150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专栏18　水利与林草智能化建设工程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数字水利建设。构建空天地一体化水利感知网，全面提升对江河湖泊水系、水利工程设施、水利治理活动的信息捕捉和感知能力，建立覆盖全域的水生态监测与管理体系，依托政务云，建设数字资源池、水利一张图应用支撑平台及相关业务应用平台</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市水务局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90" w:hRule="atLeast"/>
        </w:trPr>
        <w:tc>
          <w:tcPr>
            <w:tcW w:w="4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数字林草建设。积极推进森林经营、国土绿化、审批管理等数据“落地上图”，实现森林资源增减变化实时动态更新。加强林业“一张图”应用和辅助决策。建立林长制管理系统，实现森林资源和林长履责动态管理，为实现“林长治”提供信息化智能化支撑。建立碳汇监测及交易系统，开展森林资源年度监测评价和森林碳汇计量监测，推进林业碳汇交易</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市林草局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348" w:hRule="atLeast"/>
        </w:trPr>
        <w:tc>
          <w:tcPr>
            <w:tcW w:w="12843"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1" w:firstLineChars="200"/>
              <w:jc w:val="center"/>
              <w:rPr>
                <w:rFonts w:hint="eastAsia" w:ascii="宋体" w:hAnsi="宋体"/>
                <w:color w:val="000000"/>
                <w:sz w:val="18"/>
                <w:szCs w:val="18"/>
              </w:rPr>
            </w:pPr>
            <w:r>
              <w:rPr>
                <w:rFonts w:hint="eastAsia" w:ascii="宋体" w:hAnsi="宋体"/>
                <w:b/>
                <w:bCs/>
                <w:color w:val="000000"/>
                <w:kern w:val="0"/>
                <w:sz w:val="18"/>
                <w:szCs w:val="18"/>
                <w:lang w:bidi="ar"/>
              </w:rPr>
              <w:t>(十)深化智慧融合的社会治理体系</w:t>
            </w:r>
          </w:p>
        </w:tc>
      </w:tr>
      <w:tr>
        <w:tblPrEx>
          <w:tblCellMar>
            <w:top w:w="0" w:type="dxa"/>
            <w:left w:w="108" w:type="dxa"/>
            <w:bottom w:w="0" w:type="dxa"/>
            <w:right w:w="108" w:type="dxa"/>
          </w:tblCellMar>
        </w:tblPrEx>
        <w:trPr>
          <w:trHeight w:val="90" w:hRule="atLeast"/>
        </w:trPr>
        <w:tc>
          <w:tcPr>
            <w:tcW w:w="45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19</w:t>
            </w:r>
          </w:p>
        </w:tc>
        <w:tc>
          <w:tcPr>
            <w:tcW w:w="150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专栏19　公共安全数字化拓展工程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建设“数智警务”。依托市级政务云平台，构建全市公安“安全云”，统建“数字身份证”系统，逐步实现全市公安信息化各类资源资产和主体、行为均接受统一调控；构建全市公安“数据云”，高水平打造全市公安大数据智能化体系，汇聚各类数据资源，提高大数据预处理效能，依托市级政务云，构建全市公安“应用云”，高水平打造全市公安大数据智能化体系“用户域”，构建全市公安“网络云”，总体规划实现全市公安各类网络上云迭代，以“一通一合”为标准，实现实质化全市公安“一张网”</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市公安局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2064" w:hRule="atLeast"/>
        </w:trPr>
        <w:tc>
          <w:tcPr>
            <w:tcW w:w="4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建设“智慧交通”。依托市级政务云，打造全市交通运输信息化统一支撑基础，建设综合交通运输决策支持平台，实现综合交通运输行业治理信息的一屏统管；推进交通地理信息系统，面向全行业提供高精实景可视化地图服务。推进公路、水路、道路运输、综合执法等业务板块的应用系统整合与提档升级，形成“一板块一平台”。建设全市公共物流信息平台，促进物流市场高质量发展</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市交通运输局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2440" w:hRule="atLeast"/>
        </w:trPr>
        <w:tc>
          <w:tcPr>
            <w:tcW w:w="459" w:type="dxa"/>
            <w:vMerge w:val="restart"/>
            <w:tcBorders>
              <w:top w:val="single" w:color="000000" w:sz="4" w:space="0"/>
              <w:left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20</w:t>
            </w:r>
          </w:p>
        </w:tc>
        <w:tc>
          <w:tcPr>
            <w:tcW w:w="1500" w:type="dxa"/>
            <w:vMerge w:val="restart"/>
            <w:tcBorders>
              <w:top w:val="single" w:color="000000" w:sz="4" w:space="0"/>
              <w:left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专栏20　应急治理协同化建设工程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加强智慧应急国家试点建设。采用“省级统建，省、市（地）、县（市）区分级应用”的模式，建设应急管理综合应用平台，整合各业务系统，汇聚各类数据，集成危险化学品、地质灾害、森林防火、防汛抗旱、地震、物资储备等重点领域应急系统，实现全市所有用户“一站式”访问、日常所有工作“一平台”处理。深化感知网络和应急通信网络的“双网”建设，优化升级智慧监测预警、智慧辅助决策、智慧监管执法、智慧救援实战和智慧社会动员应用体系，实现精准预防、精准研判、精准治理、精准处置和精准服务</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市应急局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1806" w:hRule="atLeast"/>
        </w:trPr>
        <w:tc>
          <w:tcPr>
            <w:tcW w:w="459" w:type="dxa"/>
            <w:vMerge w:val="continue"/>
            <w:tcBorders>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p>
        </w:tc>
        <w:tc>
          <w:tcPr>
            <w:tcW w:w="1500" w:type="dxa"/>
            <w:vMerge w:val="continue"/>
            <w:tcBorders>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kern w:val="0"/>
                <w:sz w:val="18"/>
                <w:szCs w:val="18"/>
                <w:lang w:bidi="ar"/>
              </w:rPr>
            </w:pP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推进全市疫情防控管理平台建设。按照“省市分建、数据共享、业务协同”的模式，建设横向联通、上下贯通、过程透明、安全保密的疫情防控管理平台，通过有效整合各类涉疫数据，建立协同高效的涉疫数据共享和业务协同机制，利用现代信息化手段，实现对疫情研判、追踪、溯源与预警等全流程数据支撑，提升我市疫情精准防控工作效率</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市公安局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市卫健委</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kern w:val="0"/>
                <w:sz w:val="18"/>
                <w:szCs w:val="18"/>
                <w:lang w:bidi="ar"/>
              </w:rPr>
            </w:pPr>
            <w:r>
              <w:rPr>
                <w:rFonts w:hint="eastAsia" w:ascii="宋体" w:hAnsi="宋体"/>
                <w:color w:val="000000"/>
                <w:kern w:val="0"/>
                <w:sz w:val="18"/>
                <w:szCs w:val="18"/>
                <w:lang w:bidi="ar"/>
              </w:rPr>
              <w:t>市交通运输局</w:t>
            </w:r>
          </w:p>
          <w:p>
            <w:pPr>
              <w:widowControl/>
              <w:spacing w:line="400" w:lineRule="exact"/>
              <w:jc w:val="center"/>
              <w:rPr>
                <w:rFonts w:hint="eastAsia" w:ascii="宋体" w:hAnsi="宋体"/>
                <w:color w:val="000000"/>
                <w:kern w:val="0"/>
                <w:sz w:val="18"/>
                <w:szCs w:val="18"/>
                <w:lang w:bidi="ar"/>
              </w:rPr>
            </w:pPr>
            <w:r>
              <w:rPr>
                <w:rFonts w:hint="eastAsia" w:ascii="宋体" w:hAnsi="宋体"/>
                <w:color w:val="000000"/>
                <w:kern w:val="0"/>
                <w:sz w:val="18"/>
                <w:szCs w:val="18"/>
                <w:lang w:bidi="ar"/>
              </w:rPr>
              <w:t>市市场监管局</w:t>
            </w:r>
          </w:p>
          <w:p>
            <w:pPr>
              <w:widowControl/>
              <w:spacing w:line="400" w:lineRule="exact"/>
              <w:jc w:val="center"/>
              <w:rPr>
                <w:rFonts w:hint="eastAsia" w:ascii="宋体" w:hAnsi="宋体"/>
                <w:color w:val="000000"/>
                <w:kern w:val="0"/>
                <w:sz w:val="18"/>
                <w:szCs w:val="18"/>
                <w:lang w:bidi="ar"/>
              </w:rPr>
            </w:pPr>
            <w:r>
              <w:rPr>
                <w:rFonts w:hint="eastAsia" w:ascii="宋体" w:hAnsi="宋体"/>
                <w:color w:val="000000"/>
                <w:kern w:val="0"/>
                <w:sz w:val="18"/>
                <w:szCs w:val="18"/>
                <w:lang w:bidi="ar"/>
              </w:rPr>
              <w:t>牡丹江海关等有关部门</w:t>
            </w:r>
          </w:p>
          <w:p>
            <w:pPr>
              <w:widowControl/>
              <w:spacing w:line="400" w:lineRule="exact"/>
              <w:jc w:val="center"/>
              <w:rPr>
                <w:rFonts w:hint="eastAsia" w:ascii="宋体" w:hAnsi="宋体"/>
                <w:color w:val="000000"/>
                <w:sz w:val="18"/>
                <w:szCs w:val="18"/>
              </w:rPr>
            </w:pPr>
            <w:r>
              <w:rPr>
                <w:rFonts w:hint="eastAsia" w:ascii="宋体" w:hAnsi="宋体"/>
                <w:color w:val="000000"/>
                <w:kern w:val="0"/>
                <w:sz w:val="18"/>
                <w:szCs w:val="18"/>
                <w:lang w:bidi="ar"/>
              </w:rPr>
              <w:t>各县（市）区政府</w:t>
            </w:r>
          </w:p>
        </w:tc>
      </w:tr>
      <w:tr>
        <w:tblPrEx>
          <w:tblCellMar>
            <w:top w:w="0" w:type="dxa"/>
            <w:left w:w="108" w:type="dxa"/>
            <w:bottom w:w="0" w:type="dxa"/>
            <w:right w:w="108" w:type="dxa"/>
          </w:tblCellMar>
        </w:tblPrEx>
        <w:trPr>
          <w:trHeight w:val="1120" w:hRule="atLeast"/>
        </w:trPr>
        <w:tc>
          <w:tcPr>
            <w:tcW w:w="45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21</w:t>
            </w:r>
          </w:p>
        </w:tc>
        <w:tc>
          <w:tcPr>
            <w:tcW w:w="150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专栏21　数字住建建设工程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推进“数字住建”数据资源中心建设。对房屋和市政基础设施工程项目、企业、人员、建设、管理等主题的全量全要素数据进行采集、归集、治理、共享，实现数据协同，支撑城市信息模型（CIM）平台建设</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市住建局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742" w:hRule="atLeast"/>
        </w:trPr>
        <w:tc>
          <w:tcPr>
            <w:tcW w:w="4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推进“数字住房”类应用系统建设。对城镇住房实施全周期、全链条数字化管理，改善民生服务，助力“智慧社区”建设</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市住建局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926" w:hRule="atLeast"/>
        </w:trPr>
        <w:tc>
          <w:tcPr>
            <w:tcW w:w="4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推进“数字建设”类应用系统建设。对房屋和市政基础设施工程项目建设实施全周期、全方位数字化管理，推动房地产业和建筑业实现数字化转型</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市住建局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954" w:hRule="atLeast"/>
        </w:trPr>
        <w:tc>
          <w:tcPr>
            <w:tcW w:w="4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c>
          <w:tcPr>
            <w:tcW w:w="150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宋体" w:hAnsi="宋体"/>
                <w:color w:val="000000"/>
                <w:sz w:val="18"/>
                <w:szCs w:val="18"/>
              </w:rPr>
            </w:pP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推进“数字城乡”类应用系统建设。在城市建设、管理和更新等全领域推广CIM+应用，建设数字乡村，提升城乡建设治理能力</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市住建局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r>
        <w:tblPrEx>
          <w:tblCellMar>
            <w:top w:w="0" w:type="dxa"/>
            <w:left w:w="108" w:type="dxa"/>
            <w:bottom w:w="0" w:type="dxa"/>
            <w:right w:w="108" w:type="dxa"/>
          </w:tblCellMar>
        </w:tblPrEx>
        <w:trPr>
          <w:trHeight w:val="348" w:hRule="atLeast"/>
        </w:trPr>
        <w:tc>
          <w:tcPr>
            <w:tcW w:w="12843"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1" w:firstLineChars="200"/>
              <w:jc w:val="center"/>
              <w:rPr>
                <w:rFonts w:hint="eastAsia" w:ascii="宋体" w:hAnsi="宋体"/>
                <w:color w:val="000000"/>
                <w:sz w:val="18"/>
                <w:szCs w:val="18"/>
              </w:rPr>
            </w:pPr>
            <w:r>
              <w:rPr>
                <w:rFonts w:hint="eastAsia" w:ascii="宋体" w:hAnsi="宋体"/>
                <w:b/>
                <w:bCs/>
                <w:color w:val="000000"/>
                <w:kern w:val="0"/>
                <w:sz w:val="18"/>
                <w:szCs w:val="18"/>
                <w:lang w:bidi="ar"/>
              </w:rPr>
              <w:t>(十一)打造协同创新的丹江特色体系</w:t>
            </w:r>
          </w:p>
        </w:tc>
      </w:tr>
      <w:tr>
        <w:tblPrEx>
          <w:tblCellMar>
            <w:top w:w="0" w:type="dxa"/>
            <w:left w:w="108" w:type="dxa"/>
            <w:bottom w:w="0" w:type="dxa"/>
            <w:right w:w="108" w:type="dxa"/>
          </w:tblCellMar>
        </w:tblPrEx>
        <w:trPr>
          <w:trHeight w:val="1768" w:hRule="atLeast"/>
        </w:trPr>
        <w:tc>
          <w:tcPr>
            <w:tcW w:w="4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22</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专栏22　数字农业、智慧农业建设工程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建设高标准农田地理信息监管平台。探索建立农业气象灾害、动植物重大病虫害、生物灾害、生态环境灾害、供需监测等预警监测平台和农业应急指挥数字化体系。完善农产品质量安全追溯公共服务平台。建设农作（动）物安全监管数字化体系，推进黑土地保护、高标准农田建设、工业大麻全产业链和农村人居环境治理的数字化监管</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市农业农村局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市粮食局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市工信局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市公安局</w:t>
            </w:r>
          </w:p>
          <w:p>
            <w:pPr>
              <w:widowControl/>
              <w:spacing w:line="400" w:lineRule="exact"/>
              <w:jc w:val="center"/>
              <w:textAlignment w:val="center"/>
              <w:rPr>
                <w:rFonts w:hint="eastAsia" w:ascii="宋体" w:hAnsi="宋体"/>
                <w:color w:val="000000"/>
                <w:kern w:val="0"/>
                <w:sz w:val="18"/>
                <w:szCs w:val="18"/>
                <w:lang w:bidi="ar"/>
              </w:rPr>
            </w:pPr>
            <w:r>
              <w:rPr>
                <w:rFonts w:hint="eastAsia" w:ascii="宋体" w:hAnsi="宋体"/>
                <w:color w:val="000000"/>
                <w:kern w:val="0"/>
                <w:sz w:val="18"/>
                <w:szCs w:val="18"/>
                <w:lang w:bidi="ar"/>
              </w:rPr>
              <w:t>市生态环境局</w:t>
            </w:r>
          </w:p>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市气象局</w:t>
            </w:r>
          </w:p>
        </w:tc>
      </w:tr>
      <w:tr>
        <w:tblPrEx>
          <w:tblCellMar>
            <w:top w:w="0" w:type="dxa"/>
            <w:left w:w="108" w:type="dxa"/>
            <w:bottom w:w="0" w:type="dxa"/>
            <w:right w:w="108" w:type="dxa"/>
          </w:tblCellMar>
        </w:tblPrEx>
        <w:trPr>
          <w:trHeight w:val="1620" w:hRule="atLeast"/>
        </w:trPr>
        <w:tc>
          <w:tcPr>
            <w:tcW w:w="45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23</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宋体" w:hAnsi="宋体"/>
                <w:color w:val="000000"/>
                <w:sz w:val="18"/>
                <w:szCs w:val="18"/>
              </w:rPr>
            </w:pPr>
            <w:r>
              <w:rPr>
                <w:rFonts w:hint="eastAsia" w:ascii="宋体" w:hAnsi="宋体"/>
                <w:color w:val="000000"/>
                <w:kern w:val="0"/>
                <w:sz w:val="18"/>
                <w:szCs w:val="18"/>
                <w:lang w:bidi="ar"/>
              </w:rPr>
              <w:t>专栏23　智慧旅游、智慧文化建设工程</w:t>
            </w:r>
          </w:p>
        </w:tc>
        <w:tc>
          <w:tcPr>
            <w:tcW w:w="74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ind w:firstLine="360" w:firstLineChars="200"/>
              <w:jc w:val="left"/>
              <w:textAlignment w:val="center"/>
              <w:rPr>
                <w:rFonts w:hint="eastAsia" w:ascii="宋体" w:hAnsi="宋体"/>
                <w:color w:val="000000"/>
                <w:sz w:val="18"/>
                <w:szCs w:val="18"/>
              </w:rPr>
            </w:pPr>
            <w:r>
              <w:rPr>
                <w:rFonts w:hint="eastAsia" w:ascii="宋体" w:hAnsi="宋体"/>
                <w:color w:val="000000"/>
                <w:kern w:val="0"/>
                <w:sz w:val="18"/>
                <w:szCs w:val="18"/>
                <w:lang w:bidi="ar"/>
              </w:rPr>
              <w:t>优化升级智慧旅游平台建设，整合全域旅游数据资源，形成“全市旅游一张网”。加快智慧景区、智慧酒店、智慧民宿建设。推进文化大数据体系建设，推进城乡公共文化服务体系一体化和数字化建设</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eastAsia" w:ascii="宋体" w:hAnsi="宋体"/>
                <w:color w:val="000000"/>
                <w:sz w:val="18"/>
                <w:szCs w:val="18"/>
              </w:rPr>
            </w:pPr>
            <w:r>
              <w:rPr>
                <w:rFonts w:hint="eastAsia" w:ascii="宋体" w:hAnsi="宋体"/>
                <w:color w:val="000000"/>
                <w:kern w:val="0"/>
                <w:sz w:val="18"/>
                <w:szCs w:val="18"/>
                <w:lang w:bidi="ar"/>
              </w:rPr>
              <w:t>市文旅局</w:t>
            </w:r>
          </w:p>
        </w:tc>
        <w:tc>
          <w:tcPr>
            <w:tcW w:w="21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hint="eastAsia" w:ascii="宋体" w:hAnsi="宋体"/>
                <w:color w:val="000000"/>
                <w:sz w:val="18"/>
                <w:szCs w:val="18"/>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lNGE4N2Y3ZDZlZjNmMTZhNTEyMDgzNTg0MTcxZGQifQ=="/>
  </w:docVars>
  <w:rsids>
    <w:rsidRoot w:val="63F36482"/>
    <w:rsid w:val="63F36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uiPriority w:val="0"/>
    <w:pPr>
      <w:widowControl w:val="0"/>
      <w:jc w:val="both"/>
    </w:pPr>
    <w:rPr>
      <w:rFonts w:ascii="Calibri" w:hAnsi="Calibri" w:eastAsia="宋体" w:cs="宋体"/>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2024-03-02T02:21:00Z</dcterms:created>
  <dc:creator>Administrator</dc:creator>
  <cp:lastModifiedBy>Administrator</cp:lastModifiedBy>
  <dcterms:modified xsi:type="dcterms:W3CDTF">2024-03-02T02:21:35Z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8EB4085F3C27486E8D1BC5D358444466_11</vt:lpwstr>
  </property>
</Properties>
</file>