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ordWrap/>
        <w:overflowPunct/>
        <w:topLinePunct/>
        <w:bidi w:val="0"/>
        <w:spacing w:line="600" w:lineRule="exact"/>
        <w:rPr>
          <w:rFonts w:ascii="楷体" w:hAnsi="楷体" w:eastAsia="楷体" w:cs="Times New Roman"/>
          <w:b/>
          <w:bCs/>
          <w:color w:val="000000" w:themeColor="text1"/>
          <w:sz w:val="32"/>
          <w:szCs w:val="32"/>
          <w14:textFill>
            <w14:solidFill>
              <w14:schemeClr w14:val="tx1"/>
            </w14:solidFill>
          </w14:textFill>
        </w:rPr>
      </w:pPr>
      <w:r>
        <w:rPr>
          <w:rFonts w:ascii="楷体" w:hAnsi="楷体" w:eastAsia="楷体" w:cs="Times New Roman"/>
          <w:b/>
          <w:bCs/>
          <w:color w:val="000000" w:themeColor="text1"/>
          <w:sz w:val="32"/>
          <w:szCs w:val="32"/>
          <w14:textFill>
            <w14:solidFill>
              <w14:schemeClr w14:val="tx1"/>
            </w14:solidFill>
          </w14:textFill>
        </w:rPr>
        <w:t>附件 5</w:t>
      </w:r>
    </w:p>
    <w:p>
      <w:pPr>
        <w:keepNext w:val="0"/>
        <w:keepLines w:val="0"/>
        <w:pageBreakBefore w:val="0"/>
        <w:widowControl w:val="0"/>
        <w:kinsoku/>
        <w:wordWrap/>
        <w:overflowPunct/>
        <w:topLinePunct w:val="0"/>
        <w:autoSpaceDE w:val="0"/>
        <w:autoSpaceDN w:val="0"/>
        <w:bidi w:val="0"/>
        <w:adjustRightInd/>
        <w:snapToGrid/>
        <w:spacing w:before="65" w:line="700" w:lineRule="exact"/>
        <w:ind w:left="119"/>
        <w:jc w:val="center"/>
        <w:textAlignment w:val="auto"/>
        <w:rPr>
          <w:rFonts w:ascii="方正小标宋简体" w:eastAsia="方正小标宋简体" w:hAnsiTheme="majorEastAsia"/>
          <w:color w:val="000000" w:themeColor="text1"/>
          <w:sz w:val="44"/>
          <w:szCs w:val="44"/>
          <w14:textFill>
            <w14:solidFill>
              <w14:schemeClr w14:val="tx1"/>
            </w14:solidFill>
          </w14:textFill>
        </w:rPr>
      </w:pPr>
      <w:bookmarkStart w:id="0" w:name="_GoBack"/>
      <w:r>
        <w:rPr>
          <w:rFonts w:ascii="方正小标宋简体" w:eastAsia="方正小标宋简体" w:hAnsiTheme="majorEastAsia"/>
          <w:color w:val="000000" w:themeColor="text1"/>
          <w:sz w:val="44"/>
          <w:szCs w:val="44"/>
          <w14:textFill>
            <w14:solidFill>
              <w14:schemeClr w14:val="tx1"/>
            </w14:solidFill>
          </w14:textFill>
        </w:rPr>
        <w:t>牡丹江市普通高中</w:t>
      </w:r>
      <w:r>
        <w:rPr>
          <w:rFonts w:hint="eastAsia" w:ascii="方正小标宋简体" w:eastAsia="方正小标宋简体" w:hAnsiTheme="majorEastAsia"/>
          <w:color w:val="000000" w:themeColor="text1"/>
          <w:sz w:val="44"/>
          <w:szCs w:val="44"/>
          <w14:textFill>
            <w14:solidFill>
              <w14:schemeClr w14:val="tx1"/>
            </w14:solidFill>
          </w14:textFill>
        </w:rPr>
        <w:t>课程资源建设</w:t>
      </w:r>
      <w:r>
        <w:rPr>
          <w:rFonts w:ascii="方正小标宋简体" w:eastAsia="方正小标宋简体" w:hAnsiTheme="majorEastAsia"/>
          <w:color w:val="000000" w:themeColor="text1"/>
          <w:sz w:val="44"/>
          <w:szCs w:val="44"/>
          <w14:textFill>
            <w14:solidFill>
              <w14:schemeClr w14:val="tx1"/>
            </w14:solidFill>
          </w14:textFill>
        </w:rPr>
        <w:t>指导意见</w:t>
      </w:r>
    </w:p>
    <w:p>
      <w:pPr>
        <w:keepNext w:val="0"/>
        <w:keepLines w:val="0"/>
        <w:pageBreakBefore w:val="0"/>
        <w:widowControl w:val="0"/>
        <w:kinsoku/>
        <w:wordWrap/>
        <w:overflowPunct/>
        <w:topLinePunct w:val="0"/>
        <w:autoSpaceDE w:val="0"/>
        <w:autoSpaceDN w:val="0"/>
        <w:bidi w:val="0"/>
        <w:adjustRightInd/>
        <w:snapToGrid/>
        <w:spacing w:before="65" w:line="700" w:lineRule="exact"/>
        <w:ind w:left="119"/>
        <w:jc w:val="center"/>
        <w:textAlignment w:val="auto"/>
        <w:rPr>
          <w:rFonts w:hint="eastAsia" w:ascii="方正小标宋简体" w:eastAsia="方正小标宋简体" w:hAnsiTheme="majorEastAsia"/>
          <w:color w:val="000000" w:themeColor="text1"/>
          <w:sz w:val="44"/>
          <w:szCs w:val="44"/>
          <w14:textFill>
            <w14:solidFill>
              <w14:schemeClr w14:val="tx1"/>
            </w14:solidFill>
          </w14:textFill>
        </w:rPr>
      </w:pPr>
      <w:r>
        <w:rPr>
          <w:rFonts w:ascii="方正小标宋简体" w:eastAsia="方正小标宋简体" w:hAnsiTheme="majorEastAsia"/>
          <w:color w:val="000000" w:themeColor="text1"/>
          <w:sz w:val="44"/>
          <w:szCs w:val="44"/>
          <w14:textFill>
            <w14:solidFill>
              <w14:schemeClr w14:val="tx1"/>
            </w14:solidFill>
          </w14:textFill>
        </w:rPr>
        <w:t>（试行）</w:t>
      </w:r>
      <w:bookmarkEnd w:id="0"/>
    </w:p>
    <w:p>
      <w:pPr>
        <w:keepNext w:val="0"/>
        <w:keepLines w:val="0"/>
        <w:pageBreakBefore w:val="0"/>
        <w:wordWrap/>
        <w:overflowPunct/>
        <w:topLinePunct/>
        <w:bidi w:val="0"/>
        <w:spacing w:line="600" w:lineRule="exact"/>
        <w:ind w:firstLine="640" w:firstLineChars="200"/>
        <w:rPr>
          <w:rFonts w:ascii="仿宋" w:hAnsi="仿宋" w:eastAsia="仿宋" w:cs="Times New Roman"/>
          <w:color w:val="000000" w:themeColor="text1"/>
          <w:sz w:val="32"/>
          <w:szCs w:val="32"/>
          <w14:textFill>
            <w14:solidFill>
              <w14:schemeClr w14:val="tx1"/>
            </w14:solidFill>
          </w14:textFill>
        </w:rPr>
      </w:pPr>
      <w:r>
        <w:rPr>
          <w:rFonts w:ascii="仿宋" w:hAnsi="仿宋" w:eastAsia="仿宋" w:cs="Times New Roman"/>
          <w:color w:val="000000" w:themeColor="text1"/>
          <w:sz w:val="32"/>
          <w:szCs w:val="32"/>
          <w14:textFill>
            <w14:solidFill>
              <w14:schemeClr w14:val="tx1"/>
            </w14:solidFill>
          </w14:textFill>
        </w:rPr>
        <w:t>为贯彻落实</w:t>
      </w:r>
      <w:r>
        <w:rPr>
          <w:rFonts w:hint="eastAsia" w:ascii="仿宋" w:hAnsi="仿宋" w:eastAsia="仿宋" w:cs="Times New Roman"/>
          <w:color w:val="000000" w:themeColor="text1"/>
          <w:sz w:val="32"/>
          <w:szCs w:val="32"/>
          <w14:textFill>
            <w14:solidFill>
              <w14:schemeClr w14:val="tx1"/>
            </w14:solidFill>
          </w14:textFill>
        </w:rPr>
        <w:t>国家、省、市</w:t>
      </w:r>
      <w:r>
        <w:rPr>
          <w:rFonts w:ascii="仿宋" w:hAnsi="仿宋" w:eastAsia="仿宋" w:cs="Times New Roman"/>
          <w:color w:val="000000" w:themeColor="text1"/>
          <w:sz w:val="32"/>
          <w:szCs w:val="32"/>
          <w14:textFill>
            <w14:solidFill>
              <w14:schemeClr w14:val="tx1"/>
            </w14:solidFill>
          </w14:textFill>
        </w:rPr>
        <w:t>关于新时代推进普通高中育人方式改革的</w:t>
      </w:r>
      <w:r>
        <w:rPr>
          <w:rFonts w:hint="eastAsia" w:ascii="仿宋" w:hAnsi="仿宋" w:eastAsia="仿宋" w:cs="Times New Roman"/>
          <w:color w:val="000000" w:themeColor="text1"/>
          <w:sz w:val="32"/>
          <w:szCs w:val="32"/>
          <w14:textFill>
            <w14:solidFill>
              <w14:schemeClr w14:val="tx1"/>
            </w14:solidFill>
          </w14:textFill>
        </w:rPr>
        <w:t>系列文件精神，做好我市普通高中课程资源建设工作，</w:t>
      </w:r>
      <w:r>
        <w:rPr>
          <w:rFonts w:ascii="仿宋" w:hAnsi="仿宋" w:eastAsia="仿宋" w:cs="Times New Roman"/>
          <w:color w:val="000000" w:themeColor="text1"/>
          <w:sz w:val="32"/>
          <w:szCs w:val="32"/>
          <w14:textFill>
            <w14:solidFill>
              <w14:schemeClr w14:val="tx1"/>
            </w14:solidFill>
          </w14:textFill>
        </w:rPr>
        <w:t>根据教育部 《普通高中课程方案（2017 年版 2020 年修订）》</w:t>
      </w:r>
      <w:r>
        <w:rPr>
          <w:rFonts w:hint="eastAsia" w:ascii="仿宋" w:hAnsi="仿宋" w:eastAsia="仿宋" w:cs="Times New Roman"/>
          <w:color w:val="000000" w:themeColor="text1"/>
          <w:sz w:val="32"/>
          <w:szCs w:val="32"/>
          <w14:textFill>
            <w14:solidFill>
              <w14:schemeClr w14:val="tx1"/>
            </w14:solidFill>
          </w14:textFill>
        </w:rPr>
        <w:t>和</w:t>
      </w:r>
      <w:r>
        <w:rPr>
          <w:rFonts w:ascii="仿宋" w:hAnsi="仿宋" w:eastAsia="仿宋" w:cs="Times New Roman"/>
          <w:color w:val="000000" w:themeColor="text1"/>
          <w:sz w:val="32"/>
          <w:szCs w:val="32"/>
          <w14:textFill>
            <w14:solidFill>
              <w14:schemeClr w14:val="tx1"/>
            </w14:solidFill>
          </w14:textFill>
        </w:rPr>
        <w:t>《黑龙江省普通高中</w:t>
      </w:r>
      <w:r>
        <w:rPr>
          <w:rFonts w:hint="eastAsia" w:ascii="仿宋" w:hAnsi="仿宋" w:eastAsia="仿宋" w:cs="Times New Roman"/>
          <w:color w:val="000000" w:themeColor="text1"/>
          <w:sz w:val="32"/>
          <w:szCs w:val="32"/>
          <w14:textFill>
            <w14:solidFill>
              <w14:schemeClr w14:val="tx1"/>
            </w14:solidFill>
          </w14:textFill>
        </w:rPr>
        <w:t>课程资源建设</w:t>
      </w:r>
      <w:r>
        <w:rPr>
          <w:rFonts w:ascii="仿宋" w:hAnsi="仿宋" w:eastAsia="仿宋" w:cs="Times New Roman"/>
          <w:color w:val="000000" w:themeColor="text1"/>
          <w:sz w:val="32"/>
          <w:szCs w:val="32"/>
          <w14:textFill>
            <w14:solidFill>
              <w14:schemeClr w14:val="tx1"/>
            </w14:solidFill>
          </w14:textFill>
        </w:rPr>
        <w:t>指导意见》</w:t>
      </w:r>
      <w:r>
        <w:rPr>
          <w:rFonts w:hint="eastAsia" w:ascii="仿宋" w:hAnsi="仿宋" w:eastAsia="仿宋" w:cs="Times New Roman"/>
          <w:color w:val="000000" w:themeColor="text1"/>
          <w:sz w:val="32"/>
          <w:szCs w:val="32"/>
          <w14:textFill>
            <w14:solidFill>
              <w14:schemeClr w14:val="tx1"/>
            </w14:solidFill>
          </w14:textFill>
        </w:rPr>
        <w:t>的相关要求</w:t>
      </w:r>
      <w:r>
        <w:rPr>
          <w:rFonts w:ascii="仿宋" w:hAnsi="仿宋" w:eastAsia="仿宋" w:cs="Times New Roman"/>
          <w:color w:val="000000" w:themeColor="text1"/>
          <w:sz w:val="32"/>
          <w:szCs w:val="32"/>
          <w14:textFill>
            <w14:solidFill>
              <w14:schemeClr w14:val="tx1"/>
            </w14:solidFill>
          </w14:textFill>
        </w:rPr>
        <w:t>，制定本指导意见，并于 2020年秋季新学期开始实施。</w:t>
      </w:r>
    </w:p>
    <w:p>
      <w:pPr>
        <w:keepNext w:val="0"/>
        <w:keepLines w:val="0"/>
        <w:pageBreakBefore w:val="0"/>
        <w:wordWrap/>
        <w:overflowPunct/>
        <w:topLinePunct/>
        <w:bidi w:val="0"/>
        <w:spacing w:line="600" w:lineRule="exact"/>
        <w:ind w:firstLine="643" w:firstLineChars="200"/>
        <w:rPr>
          <w:rFonts w:ascii="黑体" w:hAnsi="黑体" w:eastAsia="黑体" w:cs="Times New Roman"/>
          <w:b/>
          <w:bCs/>
          <w:color w:val="000000" w:themeColor="text1"/>
          <w:sz w:val="32"/>
          <w:szCs w:val="32"/>
          <w14:textFill>
            <w14:solidFill>
              <w14:schemeClr w14:val="tx1"/>
            </w14:solidFill>
          </w14:textFill>
        </w:rPr>
      </w:pPr>
      <w:r>
        <w:rPr>
          <w:rFonts w:ascii="黑体" w:hAnsi="黑体" w:eastAsia="黑体" w:cs="Times New Roman"/>
          <w:b/>
          <w:bCs/>
          <w:color w:val="000000" w:themeColor="text1"/>
          <w:sz w:val="32"/>
          <w:szCs w:val="32"/>
          <w14:textFill>
            <w14:solidFill>
              <w14:schemeClr w14:val="tx1"/>
            </w14:solidFill>
          </w14:textFill>
        </w:rPr>
        <w:t>一、指导思想</w:t>
      </w:r>
    </w:p>
    <w:p>
      <w:pPr>
        <w:keepNext w:val="0"/>
        <w:keepLines w:val="0"/>
        <w:pageBreakBefore w:val="0"/>
        <w:wordWrap/>
        <w:overflowPunct/>
        <w:topLinePunct/>
        <w:bidi w:val="0"/>
        <w:spacing w:line="600" w:lineRule="exact"/>
        <w:ind w:firstLine="640" w:firstLineChars="200"/>
        <w:rPr>
          <w:rFonts w:ascii="仿宋" w:hAnsi="仿宋" w:eastAsia="仿宋" w:cs="Times New Roman"/>
          <w:color w:val="000000" w:themeColor="text1"/>
          <w:sz w:val="32"/>
          <w:szCs w:val="32"/>
          <w14:textFill>
            <w14:solidFill>
              <w14:schemeClr w14:val="tx1"/>
            </w14:solidFill>
          </w14:textFill>
        </w:rPr>
      </w:pPr>
      <w:r>
        <w:rPr>
          <w:rFonts w:ascii="仿宋" w:hAnsi="仿宋" w:eastAsia="仿宋" w:cs="Times New Roman"/>
          <w:color w:val="000000" w:themeColor="text1"/>
          <w:sz w:val="32"/>
          <w:szCs w:val="32"/>
          <w14:textFill>
            <w14:solidFill>
              <w14:schemeClr w14:val="tx1"/>
            </w14:solidFill>
          </w14:textFill>
        </w:rPr>
        <w:t>坚持以习近平新时代中国特色社会主义思想为指导，以 落实立德树人为根本任务，以全面提升学生核心素养为目 标，立足我市实际，遵循开放、务实、共建、共享和以人为本的课程资源观，实现高中课程资源的优化配置和高效管理，推动新课程改革和高考综合改革的顺利实施。</w:t>
      </w:r>
    </w:p>
    <w:p>
      <w:pPr>
        <w:keepNext w:val="0"/>
        <w:keepLines w:val="0"/>
        <w:pageBreakBefore w:val="0"/>
        <w:wordWrap/>
        <w:overflowPunct/>
        <w:topLinePunct/>
        <w:bidi w:val="0"/>
        <w:spacing w:line="600" w:lineRule="exact"/>
        <w:ind w:firstLine="643" w:firstLineChars="200"/>
        <w:rPr>
          <w:rFonts w:ascii="黑体" w:hAnsi="黑体" w:eastAsia="黑体" w:cs="Times New Roman"/>
          <w:b/>
          <w:bCs/>
          <w:color w:val="000000" w:themeColor="text1"/>
          <w:sz w:val="32"/>
          <w:szCs w:val="32"/>
          <w14:textFill>
            <w14:solidFill>
              <w14:schemeClr w14:val="tx1"/>
            </w14:solidFill>
          </w14:textFill>
        </w:rPr>
      </w:pPr>
      <w:r>
        <w:rPr>
          <w:rFonts w:ascii="黑体" w:hAnsi="黑体" w:eastAsia="黑体" w:cs="Times New Roman"/>
          <w:b/>
          <w:bCs/>
          <w:color w:val="000000" w:themeColor="text1"/>
          <w:sz w:val="32"/>
          <w:szCs w:val="32"/>
          <w14:textFill>
            <w14:solidFill>
              <w14:schemeClr w14:val="tx1"/>
            </w14:solidFill>
          </w14:textFill>
        </w:rPr>
        <w:t>二、基本原则</w:t>
      </w:r>
    </w:p>
    <w:p>
      <w:pPr>
        <w:keepNext w:val="0"/>
        <w:keepLines w:val="0"/>
        <w:pageBreakBefore w:val="0"/>
        <w:wordWrap/>
        <w:overflowPunct/>
        <w:topLinePunct/>
        <w:bidi w:val="0"/>
        <w:spacing w:line="600" w:lineRule="exact"/>
        <w:ind w:firstLine="643" w:firstLineChars="200"/>
        <w:rPr>
          <w:rFonts w:ascii="楷体" w:hAnsi="楷体" w:eastAsia="楷体" w:cs="Times New Roman"/>
          <w:b/>
          <w:color w:val="000000" w:themeColor="text1"/>
          <w:sz w:val="32"/>
          <w:szCs w:val="32"/>
          <w14:textFill>
            <w14:solidFill>
              <w14:schemeClr w14:val="tx1"/>
            </w14:solidFill>
          </w14:textFill>
        </w:rPr>
      </w:pPr>
      <w:r>
        <w:rPr>
          <w:rFonts w:hint="eastAsia" w:ascii="楷体" w:hAnsi="楷体" w:eastAsia="楷体" w:cs="Times New Roman"/>
          <w:b/>
          <w:color w:val="000000" w:themeColor="text1"/>
          <w:sz w:val="32"/>
          <w:szCs w:val="32"/>
          <w14:textFill>
            <w14:solidFill>
              <w14:schemeClr w14:val="tx1"/>
            </w14:solidFill>
          </w14:textFill>
        </w:rPr>
        <w:t>（一）</w:t>
      </w:r>
      <w:r>
        <w:rPr>
          <w:rFonts w:ascii="楷体" w:hAnsi="楷体" w:eastAsia="楷体" w:cs="Times New Roman"/>
          <w:b/>
          <w:color w:val="000000" w:themeColor="text1"/>
          <w:sz w:val="32"/>
          <w:szCs w:val="32"/>
          <w14:textFill>
            <w14:solidFill>
              <w14:schemeClr w14:val="tx1"/>
            </w14:solidFill>
          </w14:textFill>
        </w:rPr>
        <w:t>统筹规划原则</w:t>
      </w:r>
    </w:p>
    <w:p>
      <w:pPr>
        <w:keepNext w:val="0"/>
        <w:keepLines w:val="0"/>
        <w:pageBreakBefore w:val="0"/>
        <w:wordWrap/>
        <w:overflowPunct/>
        <w:topLinePunct/>
        <w:bidi w:val="0"/>
        <w:spacing w:line="600" w:lineRule="exact"/>
        <w:ind w:firstLine="640" w:firstLineChars="200"/>
        <w:rPr>
          <w:rFonts w:ascii="仿宋" w:hAnsi="仿宋" w:eastAsia="仿宋" w:cs="Times New Roman"/>
          <w:color w:val="000000" w:themeColor="text1"/>
          <w:sz w:val="32"/>
          <w:szCs w:val="32"/>
          <w14:textFill>
            <w14:solidFill>
              <w14:schemeClr w14:val="tx1"/>
            </w14:solidFill>
          </w14:textFill>
        </w:rPr>
      </w:pPr>
      <w:r>
        <w:rPr>
          <w:rFonts w:ascii="仿宋" w:hAnsi="仿宋" w:eastAsia="仿宋" w:cs="Times New Roman"/>
          <w:color w:val="000000" w:themeColor="text1"/>
          <w:sz w:val="32"/>
          <w:szCs w:val="32"/>
          <w14:textFill>
            <w14:solidFill>
              <w14:schemeClr w14:val="tx1"/>
            </w14:solidFill>
          </w14:textFill>
        </w:rPr>
        <w:t>要以教育行政部门为主导，将优质教育资源、教育教学 研究成果与普通高中的课程实施整合起来；组织</w:t>
      </w:r>
      <w:r>
        <w:rPr>
          <w:rFonts w:hint="eastAsia" w:ascii="仿宋" w:hAnsi="仿宋" w:eastAsia="仿宋" w:cs="Times New Roman"/>
          <w:color w:val="000000" w:themeColor="text1"/>
          <w:sz w:val="32"/>
          <w:szCs w:val="32"/>
          <w14:textFill>
            <w14:solidFill>
              <w14:schemeClr w14:val="tx1"/>
            </w14:solidFill>
          </w14:textFill>
        </w:rPr>
        <w:t>驻牡高校</w:t>
      </w:r>
      <w:r>
        <w:rPr>
          <w:rFonts w:ascii="仿宋" w:hAnsi="仿宋" w:eastAsia="仿宋" w:cs="Times New Roman"/>
          <w:color w:val="000000" w:themeColor="text1"/>
          <w:sz w:val="32"/>
          <w:szCs w:val="32"/>
          <w14:textFill>
            <w14:solidFill>
              <w14:schemeClr w14:val="tx1"/>
            </w14:solidFill>
          </w14:textFill>
        </w:rPr>
        <w:t xml:space="preserve">、 </w:t>
      </w:r>
      <w:r>
        <w:rPr>
          <w:rFonts w:hint="eastAsia" w:ascii="仿宋" w:hAnsi="仿宋" w:eastAsia="仿宋" w:cs="Times New Roman"/>
          <w:color w:val="000000" w:themeColor="text1"/>
          <w:sz w:val="32"/>
          <w:szCs w:val="32"/>
          <w14:textFill>
            <w14:solidFill>
              <w14:schemeClr w14:val="tx1"/>
            </w14:solidFill>
          </w14:textFill>
        </w:rPr>
        <w:t>教研、招生考试</w:t>
      </w:r>
      <w:r>
        <w:rPr>
          <w:rFonts w:ascii="仿宋" w:hAnsi="仿宋" w:eastAsia="仿宋" w:cs="Times New Roman"/>
          <w:color w:val="000000" w:themeColor="text1"/>
          <w:sz w:val="32"/>
          <w:szCs w:val="32"/>
          <w14:textFill>
            <w14:solidFill>
              <w14:schemeClr w14:val="tx1"/>
            </w14:solidFill>
          </w14:textFill>
        </w:rPr>
        <w:t>、</w:t>
      </w:r>
      <w:r>
        <w:rPr>
          <w:rFonts w:hint="eastAsia" w:ascii="仿宋" w:hAnsi="仿宋" w:eastAsia="仿宋" w:cs="Times New Roman"/>
          <w:color w:val="000000" w:themeColor="text1"/>
          <w:sz w:val="32"/>
          <w:szCs w:val="32"/>
          <w14:textFill>
            <w14:solidFill>
              <w14:schemeClr w14:val="tx1"/>
            </w14:solidFill>
          </w14:textFill>
        </w:rPr>
        <w:t>电教以及</w:t>
      </w:r>
      <w:r>
        <w:rPr>
          <w:rFonts w:ascii="仿宋" w:hAnsi="仿宋" w:eastAsia="仿宋" w:cs="Times New Roman"/>
          <w:color w:val="000000" w:themeColor="text1"/>
          <w:sz w:val="32"/>
          <w:szCs w:val="32"/>
          <w14:textFill>
            <w14:solidFill>
              <w14:schemeClr w14:val="tx1"/>
            </w14:solidFill>
          </w14:textFill>
        </w:rPr>
        <w:t>教育装备等部门与普通高中学校密切合作，切实有效地开展普通高中课程资源建设的调查研究工作，统一布局、整体谋划课程资源建设工作。</w:t>
      </w:r>
    </w:p>
    <w:p>
      <w:pPr>
        <w:keepNext w:val="0"/>
        <w:keepLines w:val="0"/>
        <w:pageBreakBefore w:val="0"/>
        <w:wordWrap/>
        <w:overflowPunct/>
        <w:topLinePunct/>
        <w:bidi w:val="0"/>
        <w:spacing w:line="600" w:lineRule="exact"/>
        <w:ind w:firstLine="643" w:firstLineChars="200"/>
        <w:rPr>
          <w:rFonts w:ascii="楷体" w:hAnsi="楷体" w:eastAsia="楷体" w:cs="Times New Roman"/>
          <w:b/>
          <w:color w:val="000000" w:themeColor="text1"/>
          <w:sz w:val="32"/>
          <w:szCs w:val="32"/>
          <w14:textFill>
            <w14:solidFill>
              <w14:schemeClr w14:val="tx1"/>
            </w14:solidFill>
          </w14:textFill>
        </w:rPr>
      </w:pPr>
      <w:r>
        <w:rPr>
          <w:rFonts w:hint="eastAsia" w:ascii="楷体" w:hAnsi="楷体" w:eastAsia="楷体" w:cs="Times New Roman"/>
          <w:b/>
          <w:color w:val="000000" w:themeColor="text1"/>
          <w:sz w:val="32"/>
          <w:szCs w:val="32"/>
          <w14:textFill>
            <w14:solidFill>
              <w14:schemeClr w14:val="tx1"/>
            </w14:solidFill>
          </w14:textFill>
        </w:rPr>
        <w:t>（二）</w:t>
      </w:r>
      <w:r>
        <w:rPr>
          <w:rFonts w:ascii="楷体" w:hAnsi="楷体" w:eastAsia="楷体" w:cs="Times New Roman"/>
          <w:b/>
          <w:color w:val="000000" w:themeColor="text1"/>
          <w:sz w:val="32"/>
          <w:szCs w:val="32"/>
          <w14:textFill>
            <w14:solidFill>
              <w14:schemeClr w14:val="tx1"/>
            </w14:solidFill>
          </w14:textFill>
        </w:rPr>
        <w:t>有序推进原则</w:t>
      </w:r>
    </w:p>
    <w:p>
      <w:pPr>
        <w:keepNext w:val="0"/>
        <w:keepLines w:val="0"/>
        <w:pageBreakBefore w:val="0"/>
        <w:wordWrap/>
        <w:overflowPunct/>
        <w:topLinePunct/>
        <w:bidi w:val="0"/>
        <w:spacing w:line="600" w:lineRule="exact"/>
        <w:ind w:firstLine="640" w:firstLineChars="200"/>
        <w:rPr>
          <w:rFonts w:ascii="仿宋" w:hAnsi="仿宋" w:eastAsia="仿宋" w:cs="Times New Roman"/>
          <w:color w:val="000000" w:themeColor="text1"/>
          <w:sz w:val="32"/>
          <w:szCs w:val="32"/>
          <w14:textFill>
            <w14:solidFill>
              <w14:schemeClr w14:val="tx1"/>
            </w14:solidFill>
          </w14:textFill>
        </w:rPr>
      </w:pPr>
      <w:r>
        <w:rPr>
          <w:rFonts w:ascii="仿宋" w:hAnsi="仿宋" w:eastAsia="仿宋" w:cs="Times New Roman"/>
          <w:color w:val="000000" w:themeColor="text1"/>
          <w:sz w:val="32"/>
          <w:szCs w:val="32"/>
          <w14:textFill>
            <w14:solidFill>
              <w14:schemeClr w14:val="tx1"/>
            </w14:solidFill>
          </w14:textFill>
        </w:rPr>
        <w:t>要找出本地资源与新课程改革需求的差距，结合我市普 通高中新课程和高考综合改革的进程，在普通高中现有办学条件基础上，稳步推进课程资源建设，满足改革的需求。同时建立健全管理、培训、示范、督导等工作制度，健全经费投入、师资配置、专业研究、设施配备等保障机制，有序推进课程资源建设。</w:t>
      </w:r>
    </w:p>
    <w:p>
      <w:pPr>
        <w:keepNext w:val="0"/>
        <w:keepLines w:val="0"/>
        <w:pageBreakBefore w:val="0"/>
        <w:wordWrap/>
        <w:overflowPunct/>
        <w:topLinePunct/>
        <w:bidi w:val="0"/>
        <w:spacing w:line="600" w:lineRule="exact"/>
        <w:ind w:firstLine="643" w:firstLineChars="200"/>
        <w:rPr>
          <w:rFonts w:ascii="楷体" w:hAnsi="楷体" w:eastAsia="楷体" w:cs="Times New Roman"/>
          <w:b/>
          <w:color w:val="000000" w:themeColor="text1"/>
          <w:sz w:val="32"/>
          <w:szCs w:val="32"/>
          <w14:textFill>
            <w14:solidFill>
              <w14:schemeClr w14:val="tx1"/>
            </w14:solidFill>
          </w14:textFill>
        </w:rPr>
      </w:pPr>
      <w:r>
        <w:rPr>
          <w:rFonts w:hint="eastAsia" w:ascii="楷体" w:hAnsi="楷体" w:eastAsia="楷体" w:cs="Times New Roman"/>
          <w:b/>
          <w:color w:val="000000" w:themeColor="text1"/>
          <w:sz w:val="32"/>
          <w:szCs w:val="32"/>
          <w14:textFill>
            <w14:solidFill>
              <w14:schemeClr w14:val="tx1"/>
            </w14:solidFill>
          </w14:textFill>
        </w:rPr>
        <w:t>（三）</w:t>
      </w:r>
      <w:r>
        <w:rPr>
          <w:rFonts w:ascii="楷体" w:hAnsi="楷体" w:eastAsia="楷体" w:cs="Times New Roman"/>
          <w:b/>
          <w:color w:val="000000" w:themeColor="text1"/>
          <w:sz w:val="32"/>
          <w:szCs w:val="32"/>
          <w14:textFill>
            <w14:solidFill>
              <w14:schemeClr w14:val="tx1"/>
            </w14:solidFill>
          </w14:textFill>
        </w:rPr>
        <w:t>交流共享原则</w:t>
      </w:r>
    </w:p>
    <w:p>
      <w:pPr>
        <w:keepNext w:val="0"/>
        <w:keepLines w:val="0"/>
        <w:pageBreakBefore w:val="0"/>
        <w:wordWrap/>
        <w:overflowPunct/>
        <w:topLinePunct/>
        <w:bidi w:val="0"/>
        <w:spacing w:line="600" w:lineRule="exact"/>
        <w:ind w:firstLine="640" w:firstLineChars="200"/>
        <w:rPr>
          <w:rFonts w:ascii="仿宋" w:hAnsi="仿宋" w:eastAsia="仿宋" w:cs="Times New Roman"/>
          <w:color w:val="000000" w:themeColor="text1"/>
          <w:sz w:val="32"/>
          <w:szCs w:val="32"/>
          <w14:textFill>
            <w14:solidFill>
              <w14:schemeClr w14:val="tx1"/>
            </w14:solidFill>
          </w14:textFill>
        </w:rPr>
      </w:pPr>
      <w:r>
        <w:rPr>
          <w:rFonts w:ascii="仿宋" w:hAnsi="仿宋" w:eastAsia="仿宋" w:cs="Times New Roman"/>
          <w:color w:val="000000" w:themeColor="text1"/>
          <w:sz w:val="32"/>
          <w:szCs w:val="32"/>
          <w14:textFill>
            <w14:solidFill>
              <w14:schemeClr w14:val="tx1"/>
            </w14:solidFill>
          </w14:textFill>
        </w:rPr>
        <w:t>要整合校内现有课程资源，提高资源使用效率；开展校 际间教师、场地、设施设备等课程资源的协同合作，互通有无，优势互补；加强与高等院校、</w:t>
      </w:r>
      <w:r>
        <w:rPr>
          <w:rFonts w:hint="eastAsia" w:ascii="仿宋" w:hAnsi="仿宋" w:eastAsia="仿宋" w:cs="Times New Roman"/>
          <w:color w:val="000000" w:themeColor="text1"/>
          <w:sz w:val="32"/>
          <w:szCs w:val="32"/>
          <w14:textFill>
            <w14:solidFill>
              <w14:schemeClr w14:val="tx1"/>
            </w14:solidFill>
          </w14:textFill>
        </w:rPr>
        <w:t>教研部门</w:t>
      </w:r>
      <w:r>
        <w:rPr>
          <w:rFonts w:ascii="仿宋" w:hAnsi="仿宋" w:eastAsia="仿宋" w:cs="Times New Roman"/>
          <w:color w:val="000000" w:themeColor="text1"/>
          <w:sz w:val="32"/>
          <w:szCs w:val="32"/>
          <w14:textFill>
            <w14:solidFill>
              <w14:schemeClr w14:val="tx1"/>
            </w14:solidFill>
          </w14:textFill>
        </w:rPr>
        <w:t>、图书馆、博物馆等资源的互惠共享；充分利用计算机网络实现校内、校际的课程资源交流与共享。</w:t>
      </w:r>
    </w:p>
    <w:p>
      <w:pPr>
        <w:keepNext w:val="0"/>
        <w:keepLines w:val="0"/>
        <w:pageBreakBefore w:val="0"/>
        <w:wordWrap/>
        <w:overflowPunct/>
        <w:topLinePunct/>
        <w:bidi w:val="0"/>
        <w:spacing w:line="600" w:lineRule="exact"/>
        <w:ind w:firstLine="643" w:firstLineChars="200"/>
        <w:rPr>
          <w:rFonts w:ascii="黑体" w:hAnsi="黑体" w:eastAsia="黑体" w:cs="Times New Roman"/>
          <w:b/>
          <w:bCs/>
          <w:color w:val="000000" w:themeColor="text1"/>
          <w:sz w:val="32"/>
          <w:szCs w:val="32"/>
          <w14:textFill>
            <w14:solidFill>
              <w14:schemeClr w14:val="tx1"/>
            </w14:solidFill>
          </w14:textFill>
        </w:rPr>
      </w:pPr>
      <w:r>
        <w:rPr>
          <w:rFonts w:ascii="黑体" w:hAnsi="黑体" w:eastAsia="黑体" w:cs="Times New Roman"/>
          <w:b/>
          <w:bCs/>
          <w:color w:val="000000" w:themeColor="text1"/>
          <w:sz w:val="32"/>
          <w:szCs w:val="32"/>
          <w14:textFill>
            <w14:solidFill>
              <w14:schemeClr w14:val="tx1"/>
            </w14:solidFill>
          </w14:textFill>
        </w:rPr>
        <w:t>三、主要内容</w:t>
      </w:r>
    </w:p>
    <w:p>
      <w:pPr>
        <w:keepNext w:val="0"/>
        <w:keepLines w:val="0"/>
        <w:pageBreakBefore w:val="0"/>
        <w:wordWrap/>
        <w:overflowPunct/>
        <w:topLinePunct/>
        <w:bidi w:val="0"/>
        <w:spacing w:line="600" w:lineRule="exact"/>
        <w:ind w:firstLine="640" w:firstLineChars="200"/>
        <w:rPr>
          <w:rFonts w:ascii="仿宋" w:hAnsi="仿宋" w:eastAsia="仿宋" w:cs="Times New Roman"/>
          <w:color w:val="000000" w:themeColor="text1"/>
          <w:sz w:val="32"/>
          <w:szCs w:val="32"/>
          <w14:textFill>
            <w14:solidFill>
              <w14:schemeClr w14:val="tx1"/>
            </w14:solidFill>
          </w14:textFill>
        </w:rPr>
      </w:pPr>
      <w:r>
        <w:rPr>
          <w:rFonts w:ascii="仿宋" w:hAnsi="仿宋" w:eastAsia="仿宋" w:cs="Times New Roman"/>
          <w:color w:val="000000" w:themeColor="text1"/>
          <w:sz w:val="32"/>
          <w:szCs w:val="32"/>
          <w14:textFill>
            <w14:solidFill>
              <w14:schemeClr w14:val="tx1"/>
            </w14:solidFill>
          </w14:textFill>
        </w:rPr>
        <w:t>教育行政部门要组织开展普通高中办学条件评估，科学测算新课程改革和高考综合改革所需的师资、教学设施 配置、教学实践基地和信息资源的缺口，根据测算结果，按照统筹规划、有序推进和交流共享的原则，积极推进本区域内普通高中课程资源建设，在教师培训、课程实施、教学研究、校舍建设、设备配置等各方面满足新课程改革和高考综合改革后的实际教学需要。</w:t>
      </w:r>
    </w:p>
    <w:p>
      <w:pPr>
        <w:keepNext w:val="0"/>
        <w:keepLines w:val="0"/>
        <w:pageBreakBefore w:val="0"/>
        <w:wordWrap/>
        <w:overflowPunct/>
        <w:topLinePunct/>
        <w:bidi w:val="0"/>
        <w:spacing w:line="600" w:lineRule="exact"/>
        <w:ind w:firstLine="643" w:firstLineChars="200"/>
        <w:rPr>
          <w:rFonts w:ascii="楷体" w:hAnsi="楷体" w:eastAsia="楷体" w:cs="Times New Roman"/>
          <w:b/>
          <w:color w:val="000000" w:themeColor="text1"/>
          <w:sz w:val="32"/>
          <w:szCs w:val="32"/>
          <w14:textFill>
            <w14:solidFill>
              <w14:schemeClr w14:val="tx1"/>
            </w14:solidFill>
          </w14:textFill>
        </w:rPr>
      </w:pPr>
      <w:r>
        <w:rPr>
          <w:rFonts w:hint="eastAsia" w:ascii="楷体" w:hAnsi="楷体" w:eastAsia="楷体" w:cs="Times New Roman"/>
          <w:b/>
          <w:color w:val="000000" w:themeColor="text1"/>
          <w:sz w:val="32"/>
          <w:szCs w:val="32"/>
          <w14:textFill>
            <w14:solidFill>
              <w14:schemeClr w14:val="tx1"/>
            </w14:solidFill>
          </w14:textFill>
        </w:rPr>
        <w:t>（一）</w:t>
      </w:r>
      <w:r>
        <w:rPr>
          <w:rFonts w:ascii="楷体" w:hAnsi="楷体" w:eastAsia="楷体" w:cs="Times New Roman"/>
          <w:b/>
          <w:color w:val="000000" w:themeColor="text1"/>
          <w:sz w:val="32"/>
          <w:szCs w:val="32"/>
          <w14:textFill>
            <w14:solidFill>
              <w14:schemeClr w14:val="tx1"/>
            </w14:solidFill>
          </w14:textFill>
        </w:rPr>
        <w:t>教师队伍建设</w:t>
      </w:r>
    </w:p>
    <w:p>
      <w:pPr>
        <w:keepNext w:val="0"/>
        <w:keepLines w:val="0"/>
        <w:pageBreakBefore w:val="0"/>
        <w:wordWrap/>
        <w:overflowPunct/>
        <w:topLinePunct/>
        <w:bidi w:val="0"/>
        <w:spacing w:line="600" w:lineRule="exact"/>
        <w:ind w:firstLine="640" w:firstLineChars="200"/>
        <w:rPr>
          <w:rFonts w:ascii="仿宋" w:hAnsi="仿宋" w:eastAsia="仿宋" w:cs="Times New Roman"/>
          <w:color w:val="000000" w:themeColor="text1"/>
          <w:sz w:val="32"/>
          <w:szCs w:val="32"/>
          <w14:textFill>
            <w14:solidFill>
              <w14:schemeClr w14:val="tx1"/>
            </w14:solidFill>
          </w14:textFill>
        </w:rPr>
      </w:pPr>
      <w:r>
        <w:rPr>
          <w:rFonts w:ascii="仿宋" w:hAnsi="仿宋" w:eastAsia="仿宋" w:cs="Times New Roman"/>
          <w:color w:val="000000" w:themeColor="text1"/>
          <w:sz w:val="32"/>
          <w:szCs w:val="32"/>
          <w14:textFill>
            <w14:solidFill>
              <w14:schemeClr w14:val="tx1"/>
            </w14:solidFill>
          </w14:textFill>
        </w:rPr>
        <w:t>各县</w:t>
      </w:r>
      <w:r>
        <w:rPr>
          <w:rFonts w:hint="eastAsia" w:ascii="仿宋" w:hAnsi="仿宋" w:eastAsia="仿宋" w:cs="Times New Roman"/>
          <w:color w:val="000000" w:themeColor="text1"/>
          <w:sz w:val="32"/>
          <w:szCs w:val="32"/>
          <w14:textFill>
            <w14:solidFill>
              <w14:schemeClr w14:val="tx1"/>
            </w14:solidFill>
          </w14:textFill>
        </w:rPr>
        <w:t>（</w:t>
      </w:r>
      <w:r>
        <w:rPr>
          <w:rFonts w:ascii="仿宋" w:hAnsi="仿宋" w:eastAsia="仿宋" w:cs="Times New Roman"/>
          <w:color w:val="000000" w:themeColor="text1"/>
          <w:sz w:val="32"/>
          <w:szCs w:val="32"/>
          <w14:textFill>
            <w14:solidFill>
              <w14:schemeClr w14:val="tx1"/>
            </w14:solidFill>
          </w14:textFill>
        </w:rPr>
        <w:t>市</w:t>
      </w:r>
      <w:r>
        <w:rPr>
          <w:rFonts w:hint="eastAsia" w:ascii="仿宋" w:hAnsi="仿宋" w:eastAsia="仿宋" w:cs="Times New Roman"/>
          <w:color w:val="000000" w:themeColor="text1"/>
          <w:sz w:val="32"/>
          <w:szCs w:val="32"/>
          <w14:textFill>
            <w14:solidFill>
              <w14:schemeClr w14:val="tx1"/>
            </w14:solidFill>
          </w14:textFill>
        </w:rPr>
        <w:t>）</w:t>
      </w:r>
      <w:r>
        <w:rPr>
          <w:rFonts w:ascii="仿宋" w:hAnsi="仿宋" w:eastAsia="仿宋" w:cs="Times New Roman"/>
          <w:color w:val="000000" w:themeColor="text1"/>
          <w:sz w:val="32"/>
          <w:szCs w:val="32"/>
          <w14:textFill>
            <w14:solidFill>
              <w14:schemeClr w14:val="tx1"/>
            </w14:solidFill>
          </w14:textFill>
        </w:rPr>
        <w:t>要根据高中阶段学校布局、学科设置、生源变化等情况，合理核定教职工编制总量，并实行动态调整，以满足普通高中在新课程改革和高考综合改革推进过程中的教师需求。用好“中小学教师临时周转编制专用账户”，应对高考综合改革过程中学校可能出现的部分学科教师富余或短缺的问题。鼓励以多种方式来缓解教师配备与学科教师实际需求的矛盾，对富余学科教师进行转岗培训，对紧缺学科教师采用政府购买服务等方式解决教师配备的问题，确保开齐国家规定的各类课程，开足规定的课时。配齐配足综合实践活动和劳动课程专职或兼职教师，落实专兼职教师的工作量核算、职称认定、评优评先政策。</w:t>
      </w:r>
    </w:p>
    <w:p>
      <w:pPr>
        <w:keepNext w:val="0"/>
        <w:keepLines w:val="0"/>
        <w:pageBreakBefore w:val="0"/>
        <w:wordWrap/>
        <w:overflowPunct/>
        <w:topLinePunct/>
        <w:bidi w:val="0"/>
        <w:spacing w:line="600" w:lineRule="exact"/>
        <w:ind w:firstLine="640" w:firstLineChars="200"/>
        <w:rPr>
          <w:rFonts w:ascii="仿宋" w:hAnsi="仿宋" w:eastAsia="仿宋" w:cs="Times New Roman"/>
          <w:color w:val="000000" w:themeColor="text1"/>
          <w:sz w:val="32"/>
          <w:szCs w:val="32"/>
          <w14:textFill>
            <w14:solidFill>
              <w14:schemeClr w14:val="tx1"/>
            </w14:solidFill>
          </w14:textFill>
        </w:rPr>
      </w:pPr>
      <w:r>
        <w:rPr>
          <w:rFonts w:ascii="仿宋" w:hAnsi="仿宋" w:eastAsia="仿宋" w:cs="Times New Roman"/>
          <w:color w:val="000000" w:themeColor="text1"/>
          <w:sz w:val="32"/>
          <w:szCs w:val="32"/>
          <w14:textFill>
            <w14:solidFill>
              <w14:schemeClr w14:val="tx1"/>
            </w14:solidFill>
          </w14:textFill>
        </w:rPr>
        <w:t>各县</w:t>
      </w:r>
      <w:r>
        <w:rPr>
          <w:rFonts w:hint="eastAsia" w:ascii="仿宋" w:hAnsi="仿宋" w:eastAsia="仿宋" w:cs="Times New Roman"/>
          <w:color w:val="000000" w:themeColor="text1"/>
          <w:sz w:val="32"/>
          <w:szCs w:val="32"/>
          <w14:textFill>
            <w14:solidFill>
              <w14:schemeClr w14:val="tx1"/>
            </w14:solidFill>
          </w14:textFill>
        </w:rPr>
        <w:t>（市）</w:t>
      </w:r>
      <w:r>
        <w:rPr>
          <w:rFonts w:ascii="仿宋" w:hAnsi="仿宋" w:eastAsia="仿宋" w:cs="Times New Roman"/>
          <w:color w:val="000000" w:themeColor="text1"/>
          <w:sz w:val="32"/>
          <w:szCs w:val="32"/>
          <w14:textFill>
            <w14:solidFill>
              <w14:schemeClr w14:val="tx1"/>
            </w14:solidFill>
          </w14:textFill>
        </w:rPr>
        <w:t>要整合</w:t>
      </w:r>
      <w:r>
        <w:rPr>
          <w:rFonts w:hint="eastAsia" w:ascii="仿宋" w:hAnsi="仿宋" w:eastAsia="仿宋" w:cs="Times New Roman"/>
          <w:color w:val="000000" w:themeColor="text1"/>
          <w:sz w:val="32"/>
          <w:szCs w:val="32"/>
          <w14:textFill>
            <w14:solidFill>
              <w14:schemeClr w14:val="tx1"/>
            </w14:solidFill>
          </w14:textFill>
        </w:rPr>
        <w:t>各</w:t>
      </w:r>
      <w:r>
        <w:rPr>
          <w:rFonts w:ascii="仿宋" w:hAnsi="仿宋" w:eastAsia="仿宋" w:cs="Times New Roman"/>
          <w:color w:val="000000" w:themeColor="text1"/>
          <w:sz w:val="32"/>
          <w:szCs w:val="32"/>
          <w14:textFill>
            <w14:solidFill>
              <w14:schemeClr w14:val="tx1"/>
            </w14:solidFill>
          </w14:textFill>
        </w:rPr>
        <w:t>方面资源，做好普通高中教师培训工作。充分发挥</w:t>
      </w:r>
      <w:r>
        <w:rPr>
          <w:rFonts w:hint="eastAsia" w:ascii="仿宋" w:hAnsi="仿宋" w:eastAsia="仿宋" w:cs="Times New Roman"/>
          <w:color w:val="000000" w:themeColor="text1"/>
          <w:sz w:val="32"/>
          <w:szCs w:val="32"/>
          <w14:textFill>
            <w14:solidFill>
              <w14:schemeClr w14:val="tx1"/>
            </w14:solidFill>
          </w14:textFill>
        </w:rPr>
        <w:t>省、市培训项目</w:t>
      </w:r>
      <w:r>
        <w:rPr>
          <w:rFonts w:ascii="仿宋" w:hAnsi="仿宋" w:eastAsia="仿宋" w:cs="Times New Roman"/>
          <w:color w:val="000000" w:themeColor="text1"/>
          <w:sz w:val="32"/>
          <w:szCs w:val="32"/>
          <w14:textFill>
            <w14:solidFill>
              <w14:schemeClr w14:val="tx1"/>
            </w14:solidFill>
          </w14:textFill>
        </w:rPr>
        <w:t>示范引领作用，落实地方教师培训经费投入制度，加强普通高中校长和教师培训工作，重点培育班主任队伍、学生发展指导团队和教学管理人员，保障高中新课程改革和高考综合改革的顺利实施。</w:t>
      </w:r>
    </w:p>
    <w:p>
      <w:pPr>
        <w:keepNext w:val="0"/>
        <w:keepLines w:val="0"/>
        <w:pageBreakBefore w:val="0"/>
        <w:wordWrap/>
        <w:overflowPunct/>
        <w:topLinePunct/>
        <w:bidi w:val="0"/>
        <w:spacing w:line="600" w:lineRule="exact"/>
        <w:ind w:firstLine="640" w:firstLineChars="200"/>
        <w:rPr>
          <w:rFonts w:ascii="仿宋" w:hAnsi="仿宋" w:eastAsia="仿宋" w:cs="Times New Roman"/>
          <w:color w:val="000000" w:themeColor="text1"/>
          <w:sz w:val="32"/>
          <w:szCs w:val="32"/>
          <w14:textFill>
            <w14:solidFill>
              <w14:schemeClr w14:val="tx1"/>
            </w14:solidFill>
          </w14:textFill>
        </w:rPr>
      </w:pPr>
      <w:r>
        <w:rPr>
          <w:rFonts w:ascii="仿宋" w:hAnsi="仿宋" w:eastAsia="仿宋" w:cs="Times New Roman"/>
          <w:color w:val="000000" w:themeColor="text1"/>
          <w:sz w:val="32"/>
          <w:szCs w:val="32"/>
          <w14:textFill>
            <w14:solidFill>
              <w14:schemeClr w14:val="tx1"/>
            </w14:solidFill>
          </w14:textFill>
        </w:rPr>
        <w:t>普通高中学校要合理安排教师教学任务和工作量，探索 适应改革需求的教师管理评价制度，科学制定教师绩效标准，完善绩效工资管理办法，充分调动教师工作主动性和积极性。</w:t>
      </w:r>
    </w:p>
    <w:p>
      <w:pPr>
        <w:keepNext w:val="0"/>
        <w:keepLines w:val="0"/>
        <w:pageBreakBefore w:val="0"/>
        <w:wordWrap/>
        <w:overflowPunct/>
        <w:topLinePunct/>
        <w:bidi w:val="0"/>
        <w:spacing w:line="600" w:lineRule="exact"/>
        <w:ind w:firstLine="643" w:firstLineChars="200"/>
        <w:rPr>
          <w:rFonts w:ascii="楷体" w:hAnsi="楷体" w:eastAsia="楷体" w:cs="Times New Roman"/>
          <w:b/>
          <w:color w:val="000000" w:themeColor="text1"/>
          <w:sz w:val="32"/>
          <w:szCs w:val="32"/>
          <w14:textFill>
            <w14:solidFill>
              <w14:schemeClr w14:val="tx1"/>
            </w14:solidFill>
          </w14:textFill>
        </w:rPr>
      </w:pPr>
      <w:r>
        <w:rPr>
          <w:rFonts w:hint="eastAsia" w:ascii="楷体" w:hAnsi="楷体" w:eastAsia="楷体" w:cs="Times New Roman"/>
          <w:b/>
          <w:color w:val="000000" w:themeColor="text1"/>
          <w:sz w:val="32"/>
          <w:szCs w:val="32"/>
          <w14:textFill>
            <w14:solidFill>
              <w14:schemeClr w14:val="tx1"/>
            </w14:solidFill>
          </w14:textFill>
        </w:rPr>
        <w:t>（二）</w:t>
      </w:r>
      <w:r>
        <w:rPr>
          <w:rFonts w:ascii="楷体" w:hAnsi="楷体" w:eastAsia="楷体" w:cs="Times New Roman"/>
          <w:b/>
          <w:color w:val="000000" w:themeColor="text1"/>
          <w:sz w:val="32"/>
          <w:szCs w:val="32"/>
          <w14:textFill>
            <w14:solidFill>
              <w14:schemeClr w14:val="tx1"/>
            </w14:solidFill>
          </w14:textFill>
        </w:rPr>
        <w:t>教学设施配置</w:t>
      </w:r>
    </w:p>
    <w:p>
      <w:pPr>
        <w:keepNext w:val="0"/>
        <w:keepLines w:val="0"/>
        <w:pageBreakBefore w:val="0"/>
        <w:wordWrap/>
        <w:overflowPunct/>
        <w:topLinePunct/>
        <w:bidi w:val="0"/>
        <w:spacing w:line="600" w:lineRule="exact"/>
        <w:ind w:firstLine="640" w:firstLineChars="200"/>
        <w:rPr>
          <w:rFonts w:ascii="仿宋" w:hAnsi="仿宋" w:eastAsia="仿宋" w:cs="Times New Roman"/>
          <w:color w:val="000000" w:themeColor="text1"/>
          <w:sz w:val="32"/>
          <w:szCs w:val="32"/>
          <w14:textFill>
            <w14:solidFill>
              <w14:schemeClr w14:val="tx1"/>
            </w14:solidFill>
          </w14:textFill>
        </w:rPr>
      </w:pPr>
      <w:r>
        <w:rPr>
          <w:rFonts w:ascii="仿宋" w:hAnsi="仿宋" w:eastAsia="仿宋" w:cs="Times New Roman"/>
          <w:color w:val="000000" w:themeColor="text1"/>
          <w:sz w:val="32"/>
          <w:szCs w:val="32"/>
          <w14:textFill>
            <w14:solidFill>
              <w14:schemeClr w14:val="tx1"/>
            </w14:solidFill>
          </w14:textFill>
        </w:rPr>
        <w:t>各县</w:t>
      </w:r>
      <w:r>
        <w:rPr>
          <w:rFonts w:hint="eastAsia" w:ascii="仿宋" w:hAnsi="仿宋" w:eastAsia="仿宋" w:cs="Times New Roman"/>
          <w:color w:val="000000" w:themeColor="text1"/>
          <w:sz w:val="32"/>
          <w:szCs w:val="32"/>
          <w14:textFill>
            <w14:solidFill>
              <w14:schemeClr w14:val="tx1"/>
            </w14:solidFill>
          </w14:textFill>
        </w:rPr>
        <w:t>（市）</w:t>
      </w:r>
      <w:r>
        <w:rPr>
          <w:rFonts w:ascii="仿宋" w:hAnsi="仿宋" w:eastAsia="仿宋" w:cs="Times New Roman"/>
          <w:color w:val="000000" w:themeColor="text1"/>
          <w:sz w:val="32"/>
          <w:szCs w:val="32"/>
          <w14:textFill>
            <w14:solidFill>
              <w14:schemeClr w14:val="tx1"/>
            </w14:solidFill>
          </w14:textFill>
        </w:rPr>
        <w:t>要依据高中阶段学校的布局规划，合理界定学校办学规模，配备教学设施。要加大教育财政投入，通过新建或扩建部分校舍或调整招生规模等方式，解决新课程实施情况下校舍场馆不足的问题。各县</w:t>
      </w:r>
      <w:r>
        <w:rPr>
          <w:rFonts w:hint="eastAsia" w:ascii="仿宋" w:hAnsi="仿宋" w:eastAsia="仿宋" w:cs="Times New Roman"/>
          <w:color w:val="000000" w:themeColor="text1"/>
          <w:sz w:val="32"/>
          <w:szCs w:val="32"/>
          <w14:textFill>
            <w14:solidFill>
              <w14:schemeClr w14:val="tx1"/>
            </w14:solidFill>
          </w14:textFill>
        </w:rPr>
        <w:t>（</w:t>
      </w:r>
      <w:r>
        <w:rPr>
          <w:rFonts w:ascii="仿宋" w:hAnsi="仿宋" w:eastAsia="仿宋" w:cs="Times New Roman"/>
          <w:color w:val="000000" w:themeColor="text1"/>
          <w:sz w:val="32"/>
          <w:szCs w:val="32"/>
          <w14:textFill>
            <w14:solidFill>
              <w14:schemeClr w14:val="tx1"/>
            </w14:solidFill>
          </w14:textFill>
        </w:rPr>
        <w:t>市</w:t>
      </w:r>
      <w:r>
        <w:rPr>
          <w:rFonts w:hint="eastAsia" w:ascii="仿宋" w:hAnsi="仿宋" w:eastAsia="仿宋" w:cs="Times New Roman"/>
          <w:color w:val="000000" w:themeColor="text1"/>
          <w:sz w:val="32"/>
          <w:szCs w:val="32"/>
          <w14:textFill>
            <w14:solidFill>
              <w14:schemeClr w14:val="tx1"/>
            </w14:solidFill>
          </w14:textFill>
        </w:rPr>
        <w:t>）</w:t>
      </w:r>
      <w:r>
        <w:rPr>
          <w:rFonts w:ascii="仿宋" w:hAnsi="仿宋" w:eastAsia="仿宋" w:cs="Times New Roman"/>
          <w:color w:val="000000" w:themeColor="text1"/>
          <w:sz w:val="32"/>
          <w:szCs w:val="32"/>
          <w14:textFill>
            <w14:solidFill>
              <w14:schemeClr w14:val="tx1"/>
            </w14:solidFill>
          </w14:textFill>
        </w:rPr>
        <w:t>教育行政部门要在充分调研和试点验证的基础上，研究制定不同规模教学设施设备的配备标准，依据学生选课情况按需配置。在进行资源配置的过程中，要充分考虑到学校和学生的长远发展需求，合理配置学科教室、创新实验室、社团活动室等满足学生全面健康发展的功能教室。普通高中学校要充分挖掘学校现有教室资源， 立足实际，制定发展规划，满足新课程实施过程中教室小型化、多样化和专业化的需求，设置不同功能的教室，最大程度地提高资源利用率。</w:t>
      </w:r>
    </w:p>
    <w:p>
      <w:pPr>
        <w:keepNext w:val="0"/>
        <w:keepLines w:val="0"/>
        <w:pageBreakBefore w:val="0"/>
        <w:wordWrap/>
        <w:overflowPunct/>
        <w:topLinePunct/>
        <w:bidi w:val="0"/>
        <w:spacing w:line="600" w:lineRule="exact"/>
        <w:ind w:firstLine="643" w:firstLineChars="200"/>
        <w:rPr>
          <w:rFonts w:ascii="楷体" w:hAnsi="楷体" w:eastAsia="楷体" w:cs="Times New Roman"/>
          <w:b/>
          <w:color w:val="000000" w:themeColor="text1"/>
          <w:sz w:val="32"/>
          <w:szCs w:val="32"/>
          <w14:textFill>
            <w14:solidFill>
              <w14:schemeClr w14:val="tx1"/>
            </w14:solidFill>
          </w14:textFill>
        </w:rPr>
      </w:pPr>
      <w:r>
        <w:rPr>
          <w:rFonts w:hint="eastAsia" w:ascii="楷体" w:hAnsi="楷体" w:eastAsia="楷体" w:cs="Times New Roman"/>
          <w:b/>
          <w:color w:val="000000" w:themeColor="text1"/>
          <w:sz w:val="32"/>
          <w:szCs w:val="32"/>
          <w14:textFill>
            <w14:solidFill>
              <w14:schemeClr w14:val="tx1"/>
            </w14:solidFill>
          </w14:textFill>
        </w:rPr>
        <w:t>（三）</w:t>
      </w:r>
      <w:r>
        <w:rPr>
          <w:rFonts w:ascii="楷体" w:hAnsi="楷体" w:eastAsia="楷体" w:cs="Times New Roman"/>
          <w:b/>
          <w:color w:val="000000" w:themeColor="text1"/>
          <w:sz w:val="32"/>
          <w:szCs w:val="32"/>
          <w14:textFill>
            <w14:solidFill>
              <w14:schemeClr w14:val="tx1"/>
            </w14:solidFill>
          </w14:textFill>
        </w:rPr>
        <w:t>实践基地建设</w:t>
      </w:r>
    </w:p>
    <w:p>
      <w:pPr>
        <w:keepNext w:val="0"/>
        <w:keepLines w:val="0"/>
        <w:pageBreakBefore w:val="0"/>
        <w:wordWrap/>
        <w:overflowPunct/>
        <w:topLinePunct/>
        <w:bidi w:val="0"/>
        <w:spacing w:line="600" w:lineRule="exact"/>
        <w:ind w:firstLine="640" w:firstLineChars="200"/>
        <w:rPr>
          <w:rFonts w:ascii="仿宋" w:hAnsi="仿宋" w:eastAsia="仿宋" w:cs="Times New Roman"/>
          <w:color w:val="000000" w:themeColor="text1"/>
          <w:sz w:val="32"/>
          <w:szCs w:val="32"/>
          <w14:textFill>
            <w14:solidFill>
              <w14:schemeClr w14:val="tx1"/>
            </w14:solidFill>
          </w14:textFill>
        </w:rPr>
      </w:pPr>
      <w:r>
        <w:rPr>
          <w:rFonts w:ascii="仿宋" w:hAnsi="仿宋" w:eastAsia="仿宋" w:cs="Times New Roman"/>
          <w:color w:val="000000" w:themeColor="text1"/>
          <w:sz w:val="32"/>
          <w:szCs w:val="32"/>
          <w14:textFill>
            <w14:solidFill>
              <w14:schemeClr w14:val="tx1"/>
            </w14:solidFill>
          </w14:textFill>
        </w:rPr>
        <w:t>教育行政部门和学校要依据地域资源布局和特点，因地制宜，为实施综合实践活动和劳动等课程、培养学生的创新精神与实践能力提供实践场所，构建独具特色的实践基地。教育行政部门要加强实践基地建设，强化资源统筹管理，建立健全校内外综合实践活动课程、劳动课程资源的利用与相互转换机制，强化公共资源间的相互联系和硬件资源的共享，充分利用现有综合实践基地、青少年校外活动场所、职业院校和普通高等学校劳动实践场所，为普通高中学校提供所需要的服务。可安排一批土地、山林、草场等作为学农实践基地，确认一批厂矿企业作为学工实践基地，认定一批城乡社区、福利院、医院、博物馆、图书馆等事业单位、社会机构、公共场所作为服务性劳动基地。有条件的普通高中学校可以建设专用活动室或实践基地，如创客空间等。</w:t>
      </w:r>
    </w:p>
    <w:p>
      <w:pPr>
        <w:keepNext w:val="0"/>
        <w:keepLines w:val="0"/>
        <w:pageBreakBefore w:val="0"/>
        <w:wordWrap/>
        <w:overflowPunct/>
        <w:topLinePunct/>
        <w:bidi w:val="0"/>
        <w:spacing w:line="600" w:lineRule="exact"/>
        <w:ind w:firstLine="643" w:firstLineChars="200"/>
        <w:rPr>
          <w:rFonts w:ascii="楷体" w:hAnsi="楷体" w:eastAsia="楷体" w:cs="Times New Roman"/>
          <w:b/>
          <w:color w:val="000000" w:themeColor="text1"/>
          <w:sz w:val="32"/>
          <w:szCs w:val="32"/>
          <w14:textFill>
            <w14:solidFill>
              <w14:schemeClr w14:val="tx1"/>
            </w14:solidFill>
          </w14:textFill>
        </w:rPr>
      </w:pPr>
      <w:r>
        <w:rPr>
          <w:rFonts w:hint="eastAsia" w:ascii="楷体" w:hAnsi="楷体" w:eastAsia="楷体" w:cs="Times New Roman"/>
          <w:b/>
          <w:color w:val="000000" w:themeColor="text1"/>
          <w:sz w:val="32"/>
          <w:szCs w:val="32"/>
          <w14:textFill>
            <w14:solidFill>
              <w14:schemeClr w14:val="tx1"/>
            </w14:solidFill>
          </w14:textFill>
        </w:rPr>
        <w:t>（四）</w:t>
      </w:r>
      <w:r>
        <w:rPr>
          <w:rFonts w:ascii="楷体" w:hAnsi="楷体" w:eastAsia="楷体" w:cs="Times New Roman"/>
          <w:b/>
          <w:color w:val="000000" w:themeColor="text1"/>
          <w:sz w:val="32"/>
          <w:szCs w:val="32"/>
          <w14:textFill>
            <w14:solidFill>
              <w14:schemeClr w14:val="tx1"/>
            </w14:solidFill>
          </w14:textFill>
        </w:rPr>
        <w:t>信息资源建设</w:t>
      </w:r>
    </w:p>
    <w:p>
      <w:pPr>
        <w:keepNext w:val="0"/>
        <w:keepLines w:val="0"/>
        <w:pageBreakBefore w:val="0"/>
        <w:wordWrap/>
        <w:overflowPunct/>
        <w:topLinePunct/>
        <w:bidi w:val="0"/>
        <w:spacing w:line="600" w:lineRule="exact"/>
        <w:ind w:firstLine="640" w:firstLineChars="200"/>
        <w:rPr>
          <w:rFonts w:ascii="仿宋" w:hAnsi="仿宋" w:eastAsia="仿宋" w:cs="Times New Roman"/>
          <w:color w:val="000000" w:themeColor="text1"/>
          <w:sz w:val="32"/>
          <w:szCs w:val="32"/>
          <w14:textFill>
            <w14:solidFill>
              <w14:schemeClr w14:val="tx1"/>
            </w14:solidFill>
          </w14:textFill>
        </w:rPr>
      </w:pPr>
      <w:r>
        <w:rPr>
          <w:rFonts w:ascii="仿宋" w:hAnsi="仿宋" w:eastAsia="仿宋" w:cs="Times New Roman"/>
          <w:color w:val="000000" w:themeColor="text1"/>
          <w:sz w:val="32"/>
          <w:szCs w:val="32"/>
          <w14:textFill>
            <w14:solidFill>
              <w14:schemeClr w14:val="tx1"/>
            </w14:solidFill>
          </w14:textFill>
        </w:rPr>
        <w:t>各县</w:t>
      </w:r>
      <w:r>
        <w:rPr>
          <w:rFonts w:hint="eastAsia" w:ascii="仿宋" w:hAnsi="仿宋" w:eastAsia="仿宋" w:cs="Times New Roman"/>
          <w:color w:val="000000" w:themeColor="text1"/>
          <w:sz w:val="32"/>
          <w:szCs w:val="32"/>
          <w14:textFill>
            <w14:solidFill>
              <w14:schemeClr w14:val="tx1"/>
            </w14:solidFill>
          </w14:textFill>
        </w:rPr>
        <w:t>（市）</w:t>
      </w:r>
      <w:r>
        <w:rPr>
          <w:rFonts w:ascii="仿宋" w:hAnsi="仿宋" w:eastAsia="仿宋" w:cs="Times New Roman"/>
          <w:color w:val="000000" w:themeColor="text1"/>
          <w:sz w:val="32"/>
          <w:szCs w:val="32"/>
          <w14:textFill>
            <w14:solidFill>
              <w14:schemeClr w14:val="tx1"/>
            </w14:solidFill>
          </w14:textFill>
        </w:rPr>
        <w:t>要继续加大对普通高中在信息技术方面的资金投入，使普通高中的计算机和网络等硬件基础设施适应改革要求。教育行政部门要指导普通高中学校充分利用信息管理系统，对教育教学工作进行规范化、科学化、精细化管理，尤其是推动普通高中学校在选课走班、学生综合素质评价和考试评价等各方面实现信息技术与学校管理、教育、教学的深度融合，实现教学、指导、教研、管理和服务能力的全面提升。普通高中学校要借助互联网、虚拟现实、移动终端和人工智能等技术手段，使用仿真实验室、创客实验室、实践基地等教学场所，推进信息技术与教育教学的深度融合。要建设个性化学习平台、丰富信息化教学资源，推进基于大数据分析的精准教学。要重视信息资源的开发、研究、管理、运行和维护工作，做到有专门机构分管、有专人负责、有专门研究，</w:t>
      </w:r>
      <w:r>
        <w:rPr>
          <w:rFonts w:hint="eastAsia" w:ascii="仿宋" w:hAnsi="仿宋" w:eastAsia="仿宋" w:cs="Times New Roman"/>
          <w:color w:val="000000" w:themeColor="text1"/>
          <w:sz w:val="32"/>
          <w:szCs w:val="32"/>
          <w14:textFill>
            <w14:solidFill>
              <w14:schemeClr w14:val="tx1"/>
            </w14:solidFill>
          </w14:textFill>
        </w:rPr>
        <w:t>以教育新型基础设施建设为契机，</w:t>
      </w:r>
      <w:r>
        <w:rPr>
          <w:rFonts w:ascii="仿宋" w:hAnsi="仿宋" w:eastAsia="仿宋" w:cs="Times New Roman"/>
          <w:color w:val="000000" w:themeColor="text1"/>
          <w:sz w:val="32"/>
          <w:szCs w:val="32"/>
          <w14:textFill>
            <w14:solidFill>
              <w14:schemeClr w14:val="tx1"/>
            </w14:solidFill>
          </w14:textFill>
        </w:rPr>
        <w:t>不断提高信息技术服务教育教学的能力和水平。</w:t>
      </w:r>
    </w:p>
    <w:p>
      <w:pPr>
        <w:keepNext w:val="0"/>
        <w:keepLines w:val="0"/>
        <w:pageBreakBefore w:val="0"/>
        <w:wordWrap/>
        <w:overflowPunct/>
        <w:topLinePunct/>
        <w:bidi w:val="0"/>
        <w:spacing w:line="600" w:lineRule="exact"/>
        <w:ind w:firstLine="643" w:firstLineChars="200"/>
        <w:rPr>
          <w:rFonts w:ascii="黑体" w:hAnsi="黑体" w:eastAsia="黑体" w:cs="Times New Roman"/>
          <w:b/>
          <w:bCs/>
          <w:color w:val="000000" w:themeColor="text1"/>
          <w:sz w:val="32"/>
          <w:szCs w:val="32"/>
          <w14:textFill>
            <w14:solidFill>
              <w14:schemeClr w14:val="tx1"/>
            </w14:solidFill>
          </w14:textFill>
        </w:rPr>
      </w:pPr>
      <w:r>
        <w:rPr>
          <w:rFonts w:ascii="黑体" w:hAnsi="黑体" w:eastAsia="黑体" w:cs="Times New Roman"/>
          <w:b/>
          <w:bCs/>
          <w:color w:val="000000" w:themeColor="text1"/>
          <w:sz w:val="32"/>
          <w:szCs w:val="32"/>
          <w14:textFill>
            <w14:solidFill>
              <w14:schemeClr w14:val="tx1"/>
            </w14:solidFill>
          </w14:textFill>
        </w:rPr>
        <w:t>四、保障措施</w:t>
      </w:r>
    </w:p>
    <w:p>
      <w:pPr>
        <w:keepNext w:val="0"/>
        <w:keepLines w:val="0"/>
        <w:pageBreakBefore w:val="0"/>
        <w:wordWrap/>
        <w:overflowPunct/>
        <w:topLinePunct/>
        <w:bidi w:val="0"/>
        <w:spacing w:line="600" w:lineRule="exact"/>
        <w:ind w:firstLine="643" w:firstLineChars="200"/>
        <w:rPr>
          <w:rFonts w:ascii="楷体" w:hAnsi="楷体" w:eastAsia="楷体" w:cs="Times New Roman"/>
          <w:b/>
          <w:color w:val="000000" w:themeColor="text1"/>
          <w:sz w:val="32"/>
          <w:szCs w:val="32"/>
          <w14:textFill>
            <w14:solidFill>
              <w14:schemeClr w14:val="tx1"/>
            </w14:solidFill>
          </w14:textFill>
        </w:rPr>
      </w:pPr>
      <w:r>
        <w:rPr>
          <w:rFonts w:hint="eastAsia" w:ascii="楷体" w:hAnsi="楷体" w:eastAsia="楷体" w:cs="Times New Roman"/>
          <w:b/>
          <w:color w:val="000000" w:themeColor="text1"/>
          <w:sz w:val="32"/>
          <w:szCs w:val="32"/>
          <w14:textFill>
            <w14:solidFill>
              <w14:schemeClr w14:val="tx1"/>
            </w14:solidFill>
          </w14:textFill>
        </w:rPr>
        <w:t>（一）</w:t>
      </w:r>
      <w:r>
        <w:rPr>
          <w:rFonts w:ascii="楷体" w:hAnsi="楷体" w:eastAsia="楷体" w:cs="Times New Roman"/>
          <w:b/>
          <w:color w:val="000000" w:themeColor="text1"/>
          <w:sz w:val="32"/>
          <w:szCs w:val="32"/>
          <w14:textFill>
            <w14:solidFill>
              <w14:schemeClr w14:val="tx1"/>
            </w14:solidFill>
          </w14:textFill>
        </w:rPr>
        <w:t>组织保障</w:t>
      </w:r>
    </w:p>
    <w:p>
      <w:pPr>
        <w:keepNext w:val="0"/>
        <w:keepLines w:val="0"/>
        <w:pageBreakBefore w:val="0"/>
        <w:wordWrap/>
        <w:overflowPunct/>
        <w:topLinePunct/>
        <w:bidi w:val="0"/>
        <w:spacing w:line="600" w:lineRule="exact"/>
        <w:ind w:firstLine="640" w:firstLineChars="200"/>
        <w:rPr>
          <w:rFonts w:ascii="仿宋" w:hAnsi="仿宋" w:eastAsia="仿宋" w:cs="Times New Roman"/>
          <w:color w:val="000000" w:themeColor="text1"/>
          <w:sz w:val="32"/>
          <w:szCs w:val="32"/>
          <w14:textFill>
            <w14:solidFill>
              <w14:schemeClr w14:val="tx1"/>
            </w14:solidFill>
          </w14:textFill>
        </w:rPr>
      </w:pPr>
      <w:r>
        <w:rPr>
          <w:rFonts w:ascii="仿宋" w:hAnsi="仿宋" w:eastAsia="仿宋" w:cs="Times New Roman"/>
          <w:color w:val="000000" w:themeColor="text1"/>
          <w:sz w:val="32"/>
          <w:szCs w:val="32"/>
          <w14:textFill>
            <w14:solidFill>
              <w14:schemeClr w14:val="tx1"/>
            </w14:solidFill>
          </w14:textFill>
        </w:rPr>
        <w:t>教育行政部门要加强对课程资源的统筹管理，设立课程资源统筹协调中心，或者依托教研工作体系，建立校际间课程资源共建共享机制，合理配置各类课程资源，加大对薄弱学校资源扶持的力度，促进校际间课程资源有效利用。</w:t>
      </w:r>
    </w:p>
    <w:p>
      <w:pPr>
        <w:keepNext w:val="0"/>
        <w:keepLines w:val="0"/>
        <w:pageBreakBefore w:val="0"/>
        <w:wordWrap/>
        <w:overflowPunct/>
        <w:topLinePunct/>
        <w:bidi w:val="0"/>
        <w:spacing w:line="600" w:lineRule="exact"/>
        <w:ind w:firstLine="643" w:firstLineChars="200"/>
        <w:rPr>
          <w:rFonts w:ascii="楷体" w:hAnsi="楷体" w:eastAsia="楷体" w:cs="Times New Roman"/>
          <w:b/>
          <w:color w:val="000000" w:themeColor="text1"/>
          <w:sz w:val="32"/>
          <w:szCs w:val="32"/>
          <w14:textFill>
            <w14:solidFill>
              <w14:schemeClr w14:val="tx1"/>
            </w14:solidFill>
          </w14:textFill>
        </w:rPr>
      </w:pPr>
      <w:r>
        <w:rPr>
          <w:rFonts w:hint="eastAsia" w:ascii="楷体" w:hAnsi="楷体" w:eastAsia="楷体" w:cs="Times New Roman"/>
          <w:b/>
          <w:color w:val="000000" w:themeColor="text1"/>
          <w:sz w:val="32"/>
          <w:szCs w:val="32"/>
          <w14:textFill>
            <w14:solidFill>
              <w14:schemeClr w14:val="tx1"/>
            </w14:solidFill>
          </w14:textFill>
        </w:rPr>
        <w:t>（二）</w:t>
      </w:r>
      <w:r>
        <w:rPr>
          <w:rFonts w:ascii="楷体" w:hAnsi="楷体" w:eastAsia="楷体" w:cs="Times New Roman"/>
          <w:b/>
          <w:color w:val="000000" w:themeColor="text1"/>
          <w:sz w:val="32"/>
          <w:szCs w:val="32"/>
          <w14:textFill>
            <w14:solidFill>
              <w14:schemeClr w14:val="tx1"/>
            </w14:solidFill>
          </w14:textFill>
        </w:rPr>
        <w:t>条件保障</w:t>
      </w:r>
    </w:p>
    <w:p>
      <w:pPr>
        <w:keepNext w:val="0"/>
        <w:keepLines w:val="0"/>
        <w:pageBreakBefore w:val="0"/>
        <w:wordWrap/>
        <w:overflowPunct/>
        <w:topLinePunct/>
        <w:bidi w:val="0"/>
        <w:spacing w:line="600" w:lineRule="exact"/>
        <w:ind w:firstLine="640" w:firstLineChars="200"/>
        <w:rPr>
          <w:rFonts w:ascii="仿宋" w:hAnsi="仿宋" w:eastAsia="仿宋" w:cs="Times New Roman"/>
          <w:color w:val="000000" w:themeColor="text1"/>
          <w:sz w:val="32"/>
          <w:szCs w:val="32"/>
          <w14:textFill>
            <w14:solidFill>
              <w14:schemeClr w14:val="tx1"/>
            </w14:solidFill>
          </w14:textFill>
        </w:rPr>
      </w:pPr>
      <w:r>
        <w:rPr>
          <w:rFonts w:ascii="仿宋" w:hAnsi="仿宋" w:eastAsia="仿宋" w:cs="Times New Roman"/>
          <w:color w:val="000000" w:themeColor="text1"/>
          <w:sz w:val="32"/>
          <w:szCs w:val="32"/>
          <w14:textFill>
            <w14:solidFill>
              <w14:schemeClr w14:val="tx1"/>
            </w14:solidFill>
          </w14:textFill>
        </w:rPr>
        <w:t>各县</w:t>
      </w:r>
      <w:r>
        <w:rPr>
          <w:rFonts w:hint="eastAsia" w:ascii="仿宋" w:hAnsi="仿宋" w:eastAsia="仿宋" w:cs="Times New Roman"/>
          <w:color w:val="000000" w:themeColor="text1"/>
          <w:sz w:val="32"/>
          <w:szCs w:val="32"/>
          <w14:textFill>
            <w14:solidFill>
              <w14:schemeClr w14:val="tx1"/>
            </w14:solidFill>
          </w14:textFill>
        </w:rPr>
        <w:t>（市）</w:t>
      </w:r>
      <w:r>
        <w:rPr>
          <w:rFonts w:ascii="仿宋" w:hAnsi="仿宋" w:eastAsia="仿宋" w:cs="Times New Roman"/>
          <w:color w:val="000000" w:themeColor="text1"/>
          <w:sz w:val="32"/>
          <w:szCs w:val="32"/>
          <w14:textFill>
            <w14:solidFill>
              <w14:schemeClr w14:val="tx1"/>
            </w14:solidFill>
          </w14:textFill>
        </w:rPr>
        <w:t>要对普通高中办学经费投入提供有力保障，确保新课程改革和高考综合改革要求落到实处。要积极争取和落实相应的专项经费，加快推进普通高中教学设施设备建设；要按编制配齐配足专任教师，满足选课走班教学基本要求。</w:t>
      </w:r>
    </w:p>
    <w:p>
      <w:pPr>
        <w:keepNext w:val="0"/>
        <w:keepLines w:val="0"/>
        <w:pageBreakBefore w:val="0"/>
        <w:wordWrap/>
        <w:overflowPunct/>
        <w:topLinePunct/>
        <w:bidi w:val="0"/>
        <w:spacing w:line="600" w:lineRule="exact"/>
        <w:ind w:firstLine="643" w:firstLineChars="200"/>
        <w:rPr>
          <w:rFonts w:ascii="楷体" w:hAnsi="楷体" w:eastAsia="楷体" w:cs="Times New Roman"/>
          <w:b/>
          <w:color w:val="000000" w:themeColor="text1"/>
          <w:sz w:val="32"/>
          <w:szCs w:val="32"/>
          <w14:textFill>
            <w14:solidFill>
              <w14:schemeClr w14:val="tx1"/>
            </w14:solidFill>
          </w14:textFill>
        </w:rPr>
      </w:pPr>
      <w:r>
        <w:rPr>
          <w:rFonts w:hint="eastAsia" w:ascii="楷体" w:hAnsi="楷体" w:eastAsia="楷体" w:cs="Times New Roman"/>
          <w:b/>
          <w:color w:val="000000" w:themeColor="text1"/>
          <w:sz w:val="32"/>
          <w:szCs w:val="32"/>
          <w14:textFill>
            <w14:solidFill>
              <w14:schemeClr w14:val="tx1"/>
            </w14:solidFill>
          </w14:textFill>
        </w:rPr>
        <w:t>（三）</w:t>
      </w:r>
      <w:r>
        <w:rPr>
          <w:rFonts w:ascii="楷体" w:hAnsi="楷体" w:eastAsia="楷体" w:cs="Times New Roman"/>
          <w:b/>
          <w:color w:val="000000" w:themeColor="text1"/>
          <w:sz w:val="32"/>
          <w:szCs w:val="32"/>
          <w14:textFill>
            <w14:solidFill>
              <w14:schemeClr w14:val="tx1"/>
            </w14:solidFill>
          </w14:textFill>
        </w:rPr>
        <w:t>制度保障</w:t>
      </w:r>
    </w:p>
    <w:p>
      <w:pPr>
        <w:keepNext w:val="0"/>
        <w:keepLines w:val="0"/>
        <w:pageBreakBefore w:val="0"/>
        <w:wordWrap/>
        <w:overflowPunct/>
        <w:topLinePunct/>
        <w:bidi w:val="0"/>
        <w:spacing w:line="600" w:lineRule="exact"/>
        <w:ind w:firstLine="640" w:firstLineChars="200"/>
        <w:rPr>
          <w:rFonts w:ascii="仿宋" w:hAnsi="仿宋" w:eastAsia="仿宋" w:cs="Times New Roman"/>
          <w:color w:val="000000" w:themeColor="text1"/>
          <w:sz w:val="32"/>
          <w:szCs w:val="32"/>
          <w14:textFill>
            <w14:solidFill>
              <w14:schemeClr w14:val="tx1"/>
            </w14:solidFill>
          </w14:textFill>
        </w:rPr>
      </w:pPr>
      <w:r>
        <w:rPr>
          <w:rFonts w:ascii="仿宋" w:hAnsi="仿宋" w:eastAsia="仿宋" w:cs="Times New Roman"/>
          <w:color w:val="000000" w:themeColor="text1"/>
          <w:sz w:val="32"/>
          <w:szCs w:val="32"/>
          <w14:textFill>
            <w14:solidFill>
              <w14:schemeClr w14:val="tx1"/>
            </w14:solidFill>
          </w14:textFill>
        </w:rPr>
        <w:t>教育行政部门和普通高中学校要建立健全</w:t>
      </w:r>
      <w:r>
        <w:rPr>
          <w:rFonts w:hint="eastAsia" w:ascii="仿宋" w:hAnsi="仿宋" w:eastAsia="仿宋" w:cs="Times New Roman"/>
          <w:color w:val="000000" w:themeColor="text1"/>
          <w:sz w:val="32"/>
          <w:szCs w:val="32"/>
          <w14:textFill>
            <w14:solidFill>
              <w14:schemeClr w14:val="tx1"/>
            </w14:solidFill>
          </w14:textFill>
        </w:rPr>
        <w:t>课程</w:t>
      </w:r>
      <w:r>
        <w:rPr>
          <w:rFonts w:ascii="仿宋" w:hAnsi="仿宋" w:eastAsia="仿宋" w:cs="Times New Roman"/>
          <w:color w:val="000000" w:themeColor="text1"/>
          <w:sz w:val="32"/>
          <w:szCs w:val="32"/>
          <w14:textFill>
            <w14:solidFill>
              <w14:schemeClr w14:val="tx1"/>
            </w14:solidFill>
          </w14:textFill>
        </w:rPr>
        <w:t>资源建设与管理制度，做到各类课程资源的开发和管理分工到人、 职责明确。要建立教师课程资源开发的激励机制、校内课程资源开发使用管理制度、校际教师资源共享管理制度、区域内课程资源共享制度和课程资源使用督导评估制度等，使之成为普通高中常规管理制度的重要组成部分。</w:t>
      </w:r>
    </w:p>
    <w:p>
      <w:pPr>
        <w:keepNext w:val="0"/>
        <w:keepLines w:val="0"/>
        <w:pageBreakBefore w:val="0"/>
        <w:wordWrap/>
        <w:overflowPunct/>
        <w:topLinePunct/>
        <w:bidi w:val="0"/>
        <w:spacing w:line="600" w:lineRule="exact"/>
        <w:ind w:firstLine="643" w:firstLineChars="200"/>
        <w:rPr>
          <w:rFonts w:ascii="楷体" w:hAnsi="楷体" w:eastAsia="楷体" w:cs="Times New Roman"/>
          <w:b/>
          <w:color w:val="000000" w:themeColor="text1"/>
          <w:sz w:val="32"/>
          <w:szCs w:val="32"/>
          <w14:textFill>
            <w14:solidFill>
              <w14:schemeClr w14:val="tx1"/>
            </w14:solidFill>
          </w14:textFill>
        </w:rPr>
      </w:pPr>
      <w:r>
        <w:rPr>
          <w:rFonts w:hint="eastAsia" w:ascii="楷体" w:hAnsi="楷体" w:eastAsia="楷体" w:cs="Times New Roman"/>
          <w:b/>
          <w:color w:val="000000" w:themeColor="text1"/>
          <w:sz w:val="32"/>
          <w:szCs w:val="32"/>
          <w14:textFill>
            <w14:solidFill>
              <w14:schemeClr w14:val="tx1"/>
            </w14:solidFill>
          </w14:textFill>
        </w:rPr>
        <w:t>（四）</w:t>
      </w:r>
      <w:r>
        <w:rPr>
          <w:rFonts w:ascii="楷体" w:hAnsi="楷体" w:eastAsia="楷体" w:cs="Times New Roman"/>
          <w:b/>
          <w:color w:val="000000" w:themeColor="text1"/>
          <w:sz w:val="32"/>
          <w:szCs w:val="32"/>
          <w14:textFill>
            <w14:solidFill>
              <w14:schemeClr w14:val="tx1"/>
            </w14:solidFill>
          </w14:textFill>
        </w:rPr>
        <w:t>政策保障</w:t>
      </w:r>
    </w:p>
    <w:p>
      <w:r>
        <w:rPr>
          <w:rFonts w:ascii="仿宋" w:hAnsi="仿宋" w:eastAsia="仿宋" w:cs="Times New Roman"/>
          <w:color w:val="000000" w:themeColor="text1"/>
          <w:sz w:val="32"/>
          <w:szCs w:val="32"/>
          <w14:textFill>
            <w14:solidFill>
              <w14:schemeClr w14:val="tx1"/>
            </w14:solidFill>
          </w14:textFill>
        </w:rPr>
        <w:t>各县</w:t>
      </w:r>
      <w:r>
        <w:rPr>
          <w:rFonts w:hint="eastAsia" w:ascii="仿宋" w:hAnsi="仿宋" w:eastAsia="仿宋" w:cs="Times New Roman"/>
          <w:color w:val="000000" w:themeColor="text1"/>
          <w:sz w:val="32"/>
          <w:szCs w:val="32"/>
          <w14:textFill>
            <w14:solidFill>
              <w14:schemeClr w14:val="tx1"/>
            </w14:solidFill>
          </w14:textFill>
        </w:rPr>
        <w:t>（市）</w:t>
      </w:r>
      <w:r>
        <w:rPr>
          <w:rFonts w:ascii="仿宋" w:hAnsi="仿宋" w:eastAsia="仿宋" w:cs="Times New Roman"/>
          <w:color w:val="000000" w:themeColor="text1"/>
          <w:sz w:val="32"/>
          <w:szCs w:val="32"/>
          <w14:textFill>
            <w14:solidFill>
              <w14:schemeClr w14:val="tx1"/>
            </w14:solidFill>
          </w14:textFill>
        </w:rPr>
        <w:t>要认真贯彻落实教育部</w:t>
      </w:r>
      <w:r>
        <w:rPr>
          <w:rFonts w:hint="eastAsia" w:ascii="仿宋" w:hAnsi="仿宋" w:eastAsia="仿宋" w:cs="Times New Roman"/>
          <w:color w:val="000000" w:themeColor="text1"/>
          <w:sz w:val="32"/>
          <w:szCs w:val="32"/>
          <w14:textFill>
            <w14:solidFill>
              <w14:schemeClr w14:val="tx1"/>
            </w14:solidFill>
          </w14:textFill>
        </w:rPr>
        <w:t>、</w:t>
      </w:r>
      <w:r>
        <w:rPr>
          <w:rFonts w:ascii="仿宋" w:hAnsi="仿宋" w:eastAsia="仿宋" w:cs="Times New Roman"/>
          <w:color w:val="000000" w:themeColor="text1"/>
          <w:sz w:val="32"/>
          <w:szCs w:val="32"/>
          <w14:textFill>
            <w14:solidFill>
              <w14:schemeClr w14:val="tx1"/>
            </w14:solidFill>
          </w14:textFill>
        </w:rPr>
        <w:t>省、市出台的相关政策，切实建立、形成并完善课程资源的开发、共享和保障机制，不断推进我市普通高中课程资源建设工作。</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楷体">
    <w:panose1 w:val="02010609060101010101"/>
    <w:charset w:val="86"/>
    <w:family w:val="modern"/>
    <w:pitch w:val="default"/>
    <w:sig w:usb0="800002BF" w:usb1="38CF7CFA" w:usb2="00000016" w:usb3="00000000" w:csb0="00040001" w:csb1="00000000"/>
  </w:font>
  <w:font w:name="方正小标宋简体">
    <w:altName w:val="方正舒体"/>
    <w:panose1 w:val="02000000000000000000"/>
    <w:charset w:val="86"/>
    <w:family w:val="roman"/>
    <w:pitch w:val="default"/>
    <w:sig w:usb0="00000000" w:usb1="00000000" w:usb2="00000012" w:usb3="00000000" w:csb0="00040001" w:csb1="00000000"/>
  </w:font>
  <w:font w:name="仿宋">
    <w:panose1 w:val="02010609060101010101"/>
    <w:charset w:val="86"/>
    <w:family w:val="modern"/>
    <w:pitch w:val="default"/>
    <w:sig w:usb0="800002BF" w:usb1="38CF7CFA" w:usb2="00000016" w:usb3="00000000" w:csb0="00040001" w:csb1="00000000"/>
  </w:font>
  <w:font w:name="方正舒体">
    <w:panose1 w:val="02010601030101010101"/>
    <w:charset w:val="86"/>
    <w:family w:val="auto"/>
    <w:pitch w:val="default"/>
    <w:sig w:usb0="00000003"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2NlNGE4N2Y3ZDZlZjNmMTZhNTEyMDgzNTg0MTcxZGQifQ=="/>
  </w:docVars>
  <w:rsids>
    <w:rsidRoot w:val="183F43F5"/>
    <w:rsid w:val="183F43F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2024-03-02T03:12:00Z</dcterms:created>
  <dc:creator>Administrator</dc:creator>
  <cp:lastModifiedBy>Administrator</cp:lastModifiedBy>
  <dcterms:modified xsi:type="dcterms:W3CDTF">2024-03-02T03:12:37Z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51D4ECBF17314C5B84A57C8418E31097_11</vt:lpwstr>
  </property>
</Properties>
</file>