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94FDB">
      <w:pPr>
        <w:spacing w:line="540" w:lineRule="auto"/>
        <w:jc w:val="center"/>
        <w:rPr>
          <w:rFonts w:ascii="宋体" w:hAnsi="宋体"/>
          <w:b/>
          <w:sz w:val="44"/>
          <w:szCs w:val="44"/>
        </w:rPr>
      </w:pPr>
    </w:p>
    <w:p w14:paraId="3B53F6D2">
      <w:pPr>
        <w:spacing w:line="540" w:lineRule="auto"/>
        <w:jc w:val="center"/>
        <w:rPr>
          <w:rFonts w:ascii="宋体" w:hAnsi="宋体"/>
          <w:b/>
          <w:sz w:val="44"/>
          <w:szCs w:val="44"/>
        </w:rPr>
      </w:pPr>
    </w:p>
    <w:p w14:paraId="590E1115">
      <w:pPr>
        <w:spacing w:line="540" w:lineRule="auto"/>
        <w:jc w:val="center"/>
        <w:rPr>
          <w:rFonts w:ascii="宋体" w:hAnsi="宋体"/>
          <w:b/>
          <w:sz w:val="10"/>
          <w:szCs w:val="10"/>
        </w:rPr>
      </w:pPr>
      <w:r>
        <w:rPr>
          <w:rFonts w:ascii="宋体" w:hAnsi="宋体"/>
          <w:b/>
          <w:sz w:val="44"/>
          <w:szCs w:val="44"/>
        </w:rPr>
        <w:t>牡丹江市发展和改革委员会</w:t>
      </w:r>
    </w:p>
    <w:p w14:paraId="24665734">
      <w:pPr>
        <w:spacing w:line="540" w:lineRule="auto"/>
        <w:jc w:val="center"/>
        <w:rPr>
          <w:rFonts w:ascii="宋体" w:hAnsi="宋体"/>
          <w:b/>
          <w:sz w:val="10"/>
          <w:szCs w:val="10"/>
        </w:rPr>
      </w:pPr>
      <w:r>
        <w:rPr>
          <w:rFonts w:hint="eastAsia" w:ascii="宋体" w:hAnsi="宋体"/>
          <w:b/>
          <w:sz w:val="44"/>
          <w:szCs w:val="44"/>
        </w:rPr>
        <w:t>202</w:t>
      </w:r>
      <w:r>
        <w:rPr>
          <w:rFonts w:ascii="宋体" w:hAnsi="宋体"/>
          <w:b/>
          <w:sz w:val="44"/>
          <w:szCs w:val="44"/>
        </w:rPr>
        <w:t>2</w:t>
      </w:r>
      <w:r>
        <w:rPr>
          <w:rFonts w:hint="eastAsia" w:ascii="宋体" w:hAnsi="宋体"/>
          <w:b/>
          <w:sz w:val="44"/>
          <w:szCs w:val="44"/>
        </w:rPr>
        <w:t>年度政府信息公开工作</w:t>
      </w:r>
      <w:r>
        <w:rPr>
          <w:rFonts w:ascii="宋体" w:hAnsi="宋体"/>
          <w:b/>
          <w:sz w:val="44"/>
          <w:szCs w:val="44"/>
        </w:rPr>
        <w:t>年度</w:t>
      </w:r>
      <w:r>
        <w:rPr>
          <w:rFonts w:hint="eastAsia" w:ascii="宋体" w:hAnsi="宋体"/>
          <w:b/>
          <w:sz w:val="44"/>
          <w:szCs w:val="44"/>
        </w:rPr>
        <w:t>报告</w:t>
      </w:r>
    </w:p>
    <w:p w14:paraId="7372FFE2">
      <w:pPr>
        <w:spacing w:line="540" w:lineRule="auto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2023年1月10日</w:t>
      </w:r>
    </w:p>
    <w:p w14:paraId="441CC573">
      <w:pPr>
        <w:rPr>
          <w:sz w:val="10"/>
          <w:szCs w:val="10"/>
        </w:rPr>
      </w:pPr>
    </w:p>
    <w:p w14:paraId="5181664C">
      <w:pPr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本年度报告是根据《中华人民共和国政府信息公开条例》要求，由牡丹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>江市发展和改革委员会编制。全文包括总体情况，主动公开政府信息情况，收到和处理政府信息公开申请情况，政府信息公开行政复议、行政诉讼情况，存在的主要问题及改进情况</w:t>
      </w:r>
      <w:r>
        <w:rPr>
          <w:rFonts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其他需要报告的事项。此报告统计时间自2022年1月1日至2022年12月31日。</w:t>
      </w:r>
    </w:p>
    <w:p w14:paraId="1E811327">
      <w:pPr>
        <w:ind w:firstLine="634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</w:rPr>
        <w:t>总体情况</w:t>
      </w:r>
    </w:p>
    <w:p w14:paraId="1BBD5BFE">
      <w:pPr>
        <w:ind w:firstLine="634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在市委、市政府的正确领导下，我委认真贯彻落实《中华人民共和国政府信息公开条例》，进一步规范公开内容、健全公开制度，拓展公开渠道，推动政府信息公开工作有序开展，依法保障群众知情权、参与权和监督权。</w:t>
      </w:r>
    </w:p>
    <w:p w14:paraId="531EE2EA">
      <w:pPr>
        <w:ind w:firstLine="634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楷体" w:hAnsi="楷体" w:eastAsia="楷体" w:cs="楷体"/>
          <w:b/>
          <w:bCs/>
          <w:sz w:val="32"/>
          <w:szCs w:val="32"/>
        </w:rPr>
        <w:t>（一）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落实主动公开制度，提高工作透明度</w:t>
      </w:r>
      <w:r>
        <w:rPr>
          <w:rFonts w:ascii="楷体" w:hAnsi="楷体" w:eastAsia="楷体" w:cs="楷体"/>
          <w:b/>
          <w:bCs/>
          <w:sz w:val="32"/>
          <w:szCs w:val="32"/>
        </w:rPr>
        <w:t>。</w:t>
      </w:r>
      <w:r>
        <w:rPr>
          <w:rFonts w:ascii="仿宋" w:hAnsi="仿宋" w:eastAsia="仿宋" w:cs="仿宋_GB2312"/>
          <w:sz w:val="32"/>
          <w:szCs w:val="32"/>
        </w:rPr>
        <w:t>本年度，</w:t>
      </w:r>
      <w:r>
        <w:rPr>
          <w:rFonts w:hint="eastAsia" w:ascii="仿宋" w:hAnsi="仿宋" w:eastAsia="仿宋" w:cs="仿宋_GB2312"/>
          <w:sz w:val="32"/>
          <w:szCs w:val="32"/>
        </w:rPr>
        <w:t>我委本着全面、客观、真实的原则，在政府网站主动公开各类政务信息 43条。其中，规划信息2条、部门预算信息6条、疫情工作信息4条、行政事业性收费信息6条、重大项目建设信息8条</w:t>
      </w:r>
      <w:r>
        <w:rPr>
          <w:rFonts w:ascii="仿宋" w:hAnsi="仿宋" w:eastAsia="仿宋" w:cs="仿宋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部门</w:t>
      </w:r>
      <w:r>
        <w:rPr>
          <w:rFonts w:ascii="仿宋" w:hAnsi="仿宋" w:eastAsia="仿宋" w:cs="仿宋_GB2312"/>
          <w:sz w:val="32"/>
          <w:szCs w:val="32"/>
        </w:rPr>
        <w:t>工作</w:t>
      </w:r>
      <w:r>
        <w:rPr>
          <w:rFonts w:hint="eastAsia" w:ascii="仿宋" w:hAnsi="仿宋" w:eastAsia="仿宋" w:cs="仿宋_GB2312"/>
          <w:sz w:val="32"/>
          <w:szCs w:val="32"/>
        </w:rPr>
        <w:t>信息15条。</w:t>
      </w:r>
    </w:p>
    <w:p w14:paraId="053D9CFD">
      <w:pPr>
        <w:widowControl/>
        <w:ind w:firstLine="476" w:firstLineChars="15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华文楷体" w:hAnsi="华文楷体" w:eastAsia="华文楷体" w:cs="华文楷体"/>
          <w:b/>
          <w:bCs/>
          <w:sz w:val="32"/>
          <w:szCs w:val="32"/>
        </w:rPr>
        <w:t>（二）依法办理依申请公开</w:t>
      </w:r>
      <w:r>
        <w:rPr>
          <w:rFonts w:ascii="华文楷体" w:hAnsi="华文楷体" w:eastAsia="华文楷体" w:cs="华文楷体"/>
          <w:b/>
          <w:bCs/>
          <w:sz w:val="32"/>
          <w:szCs w:val="32"/>
        </w:rPr>
        <w:t>，增强政府公信力</w:t>
      </w:r>
      <w:r>
        <w:rPr>
          <w:rFonts w:hint="eastAsia" w:ascii="华文楷体" w:hAnsi="华文楷体" w:eastAsia="华文楷体" w:cs="华文楷体"/>
          <w:b/>
          <w:bCs/>
          <w:sz w:val="32"/>
          <w:szCs w:val="32"/>
        </w:rPr>
        <w:t>。</w:t>
      </w:r>
      <w:r>
        <w:rPr>
          <w:rFonts w:hint="eastAsia" w:ascii="仿宋" w:hAnsi="仿宋" w:eastAsia="仿宋" w:cs="仿宋_GB2312"/>
          <w:sz w:val="32"/>
          <w:szCs w:val="32"/>
        </w:rPr>
        <w:t>为保障人民群众依法获取政府信息权力，提升依申请公开工作办理水平，我委坚持以人民群众需求为出发点，以方便基层群众获取政府信息为落脚点，严格工作流程，优化信息公开，切实提升群众的获得感和满意度。本年度，共受理并</w:t>
      </w:r>
      <w:r>
        <w:rPr>
          <w:rFonts w:ascii="仿宋" w:hAnsi="仿宋" w:eastAsia="仿宋" w:cs="仿宋_GB2312"/>
          <w:sz w:val="32"/>
          <w:szCs w:val="32"/>
        </w:rPr>
        <w:t>依法</w:t>
      </w:r>
      <w:r>
        <w:rPr>
          <w:rFonts w:hint="eastAsia" w:ascii="仿宋" w:hAnsi="仿宋" w:eastAsia="仿宋" w:cs="仿宋_GB2312"/>
          <w:sz w:val="32"/>
          <w:szCs w:val="32"/>
        </w:rPr>
        <w:t>予以公开政府信息申请3件，内容涉及项目审批、</w:t>
      </w:r>
      <w:r>
        <w:rPr>
          <w:rFonts w:ascii="仿宋" w:hAnsi="仿宋" w:eastAsia="仿宋" w:cs="仿宋_GB2312"/>
          <w:sz w:val="32"/>
          <w:szCs w:val="32"/>
        </w:rPr>
        <w:t>物业收费、土地产权等方面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21798175">
      <w:pPr>
        <w:ind w:firstLine="634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楷体" w:hAnsi="楷体" w:eastAsia="楷体" w:cs="楷体"/>
          <w:b/>
          <w:bCs/>
          <w:sz w:val="32"/>
          <w:szCs w:val="32"/>
        </w:rPr>
        <w:t>（三）加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强基础性工作，</w:t>
      </w:r>
      <w:r>
        <w:rPr>
          <w:rFonts w:hint="eastAsia" w:ascii="楷体" w:hAnsi="楷体" w:eastAsia="楷体" w:cs="华文楷体"/>
          <w:b/>
          <w:bCs/>
          <w:sz w:val="32"/>
          <w:szCs w:val="32"/>
        </w:rPr>
        <w:t>强化政府信息管理</w:t>
      </w:r>
      <w:r>
        <w:rPr>
          <w:rFonts w:ascii="楷体" w:hAnsi="楷体" w:eastAsia="楷体" w:cs="华文楷体"/>
          <w:b/>
          <w:bCs/>
          <w:sz w:val="32"/>
          <w:szCs w:val="32"/>
        </w:rPr>
        <w:t>。</w:t>
      </w:r>
      <w:r>
        <w:rPr>
          <w:rFonts w:hint="eastAsia" w:ascii="仿宋" w:hAnsi="仿宋" w:eastAsia="仿宋" w:cs="仿宋_GB2312"/>
          <w:sz w:val="32"/>
          <w:szCs w:val="32"/>
        </w:rPr>
        <w:t>坚持“及时、准确、便捷、通畅”的原则，可公开的信息第一时间向公众公布</w:t>
      </w:r>
      <w:r>
        <w:rPr>
          <w:rFonts w:ascii="仿宋" w:hAnsi="仿宋" w:eastAsia="仿宋" w:cs="仿宋_GB2312"/>
          <w:sz w:val="32"/>
          <w:szCs w:val="32"/>
        </w:rPr>
        <w:t>，按时</w:t>
      </w:r>
      <w:r>
        <w:rPr>
          <w:rFonts w:hint="eastAsia" w:ascii="仿宋" w:hAnsi="仿宋" w:eastAsia="仿宋" w:cs="仿宋_GB2312"/>
          <w:sz w:val="32"/>
          <w:szCs w:val="32"/>
        </w:rPr>
        <w:t>梳理信息并及时更新</w:t>
      </w:r>
      <w:r>
        <w:rPr>
          <w:rFonts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编制</w:t>
      </w:r>
      <w:r>
        <w:rPr>
          <w:rFonts w:ascii="仿宋" w:hAnsi="仿宋" w:eastAsia="仿宋" w:cs="仿宋_GB2312"/>
          <w:sz w:val="32"/>
          <w:szCs w:val="32"/>
        </w:rPr>
        <w:t>了</w:t>
      </w:r>
      <w:r>
        <w:rPr>
          <w:rFonts w:hint="eastAsia" w:ascii="仿宋" w:hAnsi="仿宋" w:eastAsia="仿宋" w:cs="仿宋_GB2312"/>
          <w:sz w:val="32"/>
          <w:szCs w:val="32"/>
        </w:rPr>
        <w:t>本年度政府信息公开工作计划</w:t>
      </w:r>
      <w:r>
        <w:rPr>
          <w:rFonts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成立了政务公开工作领导小组</w:t>
      </w:r>
      <w:r>
        <w:rPr>
          <w:rFonts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准时上报政府信息公开年</w:t>
      </w:r>
      <w:r>
        <w:rPr>
          <w:rFonts w:ascii="仿宋" w:hAnsi="仿宋" w:eastAsia="仿宋" w:cs="仿宋_GB2312"/>
          <w:sz w:val="32"/>
          <w:szCs w:val="32"/>
        </w:rPr>
        <w:t>度报告</w:t>
      </w:r>
      <w:r>
        <w:rPr>
          <w:rFonts w:hint="eastAsia" w:ascii="仿宋" w:hAnsi="仿宋" w:eastAsia="仿宋" w:cs="仿宋_GB2312"/>
          <w:sz w:val="32"/>
          <w:szCs w:val="32"/>
        </w:rPr>
        <w:t>，政</w:t>
      </w:r>
      <w:r>
        <w:rPr>
          <w:rFonts w:ascii="仿宋" w:hAnsi="仿宋" w:eastAsia="仿宋" w:cs="仿宋_GB2312"/>
          <w:sz w:val="32"/>
          <w:szCs w:val="32"/>
        </w:rPr>
        <w:t>务</w:t>
      </w:r>
      <w:r>
        <w:rPr>
          <w:rFonts w:hint="eastAsia" w:ascii="仿宋" w:hAnsi="仿宋" w:eastAsia="仿宋" w:cs="仿宋_GB2312"/>
          <w:sz w:val="32"/>
          <w:szCs w:val="32"/>
        </w:rPr>
        <w:t>信息数据准确真实、内容全面客观。</w:t>
      </w:r>
    </w:p>
    <w:p w14:paraId="20217D87">
      <w:pPr>
        <w:ind w:firstLine="634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楷体" w:hAnsi="楷体" w:eastAsia="楷体" w:cs="楷体"/>
          <w:b/>
          <w:bCs/>
          <w:sz w:val="32"/>
          <w:szCs w:val="32"/>
        </w:rPr>
        <w:t>（四）完善制度建设，增强政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务公开</w:t>
      </w:r>
      <w:r>
        <w:rPr>
          <w:rFonts w:ascii="楷体" w:hAnsi="楷体" w:eastAsia="楷体" w:cs="楷体"/>
          <w:b/>
          <w:bCs/>
          <w:sz w:val="32"/>
          <w:szCs w:val="32"/>
        </w:rPr>
        <w:t>执行力。</w:t>
      </w:r>
      <w:r>
        <w:rPr>
          <w:rFonts w:hint="eastAsia" w:ascii="仿宋" w:hAnsi="仿宋" w:eastAsia="仿宋" w:cs="仿宋_GB2312"/>
          <w:sz w:val="32"/>
          <w:szCs w:val="32"/>
        </w:rPr>
        <w:t>制定了《牡丹江市发展和改革</w:t>
      </w:r>
      <w:r>
        <w:rPr>
          <w:rFonts w:ascii="仿宋" w:hAnsi="仿宋" w:eastAsia="仿宋" w:cs="仿宋_GB2312"/>
          <w:sz w:val="32"/>
          <w:szCs w:val="32"/>
        </w:rPr>
        <w:t>委</w:t>
      </w:r>
      <w:r>
        <w:rPr>
          <w:rFonts w:hint="eastAsia" w:ascii="仿宋" w:hAnsi="仿宋" w:eastAsia="仿宋" w:cs="仿宋_GB2312"/>
          <w:sz w:val="32"/>
          <w:szCs w:val="32"/>
        </w:rPr>
        <w:t>2022年政务公开工作要点》</w:t>
      </w:r>
      <w:r>
        <w:rPr>
          <w:rFonts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健全完善政</w:t>
      </w:r>
      <w:r>
        <w:rPr>
          <w:rFonts w:ascii="仿宋" w:hAnsi="仿宋" w:eastAsia="仿宋" w:cs="仿宋_GB2312"/>
          <w:sz w:val="32"/>
          <w:szCs w:val="32"/>
        </w:rPr>
        <w:t>府信息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政务公开</w:t>
      </w:r>
      <w:r>
        <w:rPr>
          <w:rFonts w:hint="eastAsia" w:ascii="仿宋" w:hAnsi="仿宋" w:eastAsia="仿宋" w:cs="仿宋_GB2312"/>
          <w:sz w:val="32"/>
          <w:szCs w:val="32"/>
        </w:rPr>
        <w:t>发布、保密审查、考核等各项规章制度</w:t>
      </w:r>
      <w:r>
        <w:rPr>
          <w:rFonts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公开信息</w:t>
      </w:r>
      <w:r>
        <w:rPr>
          <w:rFonts w:ascii="仿宋" w:hAnsi="仿宋" w:eastAsia="仿宋" w:cs="仿宋_GB2312"/>
          <w:sz w:val="32"/>
          <w:szCs w:val="32"/>
        </w:rPr>
        <w:t>由</w:t>
      </w:r>
      <w:r>
        <w:rPr>
          <w:rFonts w:hint="eastAsia" w:ascii="仿宋" w:hAnsi="仿宋" w:eastAsia="仿宋" w:cs="仿宋_GB2312"/>
          <w:sz w:val="32"/>
          <w:szCs w:val="32"/>
        </w:rPr>
        <w:t>单位</w:t>
      </w:r>
      <w:r>
        <w:rPr>
          <w:rFonts w:ascii="仿宋" w:hAnsi="仿宋" w:eastAsia="仿宋" w:cs="仿宋_GB2312"/>
          <w:sz w:val="32"/>
          <w:szCs w:val="32"/>
        </w:rPr>
        <w:t>主要领导</w:t>
      </w:r>
      <w:r>
        <w:rPr>
          <w:rFonts w:hint="eastAsia" w:ascii="仿宋" w:hAnsi="仿宋" w:eastAsia="仿宋" w:cs="仿宋_GB2312"/>
          <w:sz w:val="32"/>
          <w:szCs w:val="32"/>
        </w:rPr>
        <w:t>签字确认，防止不当公开或以保密为由拒绝公开义务</w:t>
      </w:r>
      <w:r>
        <w:rPr>
          <w:rFonts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建立政</w:t>
      </w:r>
      <w:r>
        <w:rPr>
          <w:rFonts w:ascii="仿宋" w:hAnsi="仿宋" w:eastAsia="仿宋" w:cs="仿宋_GB2312"/>
          <w:sz w:val="32"/>
          <w:szCs w:val="32"/>
        </w:rPr>
        <w:t>府</w:t>
      </w:r>
      <w:r>
        <w:rPr>
          <w:rFonts w:hint="eastAsia" w:ascii="仿宋" w:hAnsi="仿宋" w:eastAsia="仿宋" w:cs="仿宋_GB2312"/>
          <w:sz w:val="32"/>
          <w:szCs w:val="32"/>
        </w:rPr>
        <w:t>信息公开监督检查评估机制，将平时检查评议与年终考核评估相结合，督促各科室更好地开展政府信息公开工作。</w:t>
      </w:r>
    </w:p>
    <w:p w14:paraId="35FC82A0">
      <w:pPr>
        <w:ind w:firstLine="634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楷体" w:hAnsi="楷体" w:eastAsia="楷体" w:cs="楷体"/>
          <w:b/>
          <w:bCs/>
          <w:sz w:val="32"/>
          <w:szCs w:val="32"/>
        </w:rPr>
        <w:t>（五）加强牵头落实，提升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政务公开</w:t>
      </w:r>
      <w:r>
        <w:rPr>
          <w:rFonts w:ascii="楷体" w:hAnsi="楷体" w:eastAsia="楷体" w:cs="楷体"/>
          <w:b/>
          <w:bCs/>
          <w:sz w:val="32"/>
          <w:szCs w:val="32"/>
        </w:rPr>
        <w:t>水平。</w:t>
      </w:r>
      <w:r>
        <w:rPr>
          <w:rFonts w:hint="eastAsia" w:ascii="仿宋" w:hAnsi="仿宋" w:eastAsia="仿宋" w:cs="仿宋_GB2312"/>
          <w:sz w:val="32"/>
          <w:szCs w:val="32"/>
        </w:rPr>
        <w:t>认真贯彻落实</w:t>
      </w:r>
      <w:r>
        <w:rPr>
          <w:rFonts w:ascii="仿宋" w:hAnsi="仿宋" w:eastAsia="仿宋" w:cs="仿宋_GB2312"/>
          <w:sz w:val="32"/>
          <w:szCs w:val="32"/>
        </w:rPr>
        <w:t>《牡丹江市人民政府办公室关于印发牡丹江市2022政务公开实施方案的通知》</w:t>
      </w:r>
      <w:r>
        <w:rPr>
          <w:rFonts w:hint="eastAsia" w:ascii="仿宋" w:hAnsi="仿宋" w:eastAsia="仿宋" w:cs="仿宋_GB2312"/>
          <w:sz w:val="32"/>
          <w:szCs w:val="32"/>
        </w:rPr>
        <w:t>牡政办发</w:t>
      </w:r>
      <w:r>
        <w:rPr>
          <w:rFonts w:ascii="仿宋" w:hAnsi="仿宋" w:eastAsia="仿宋" w:cs="仿宋_GB2312"/>
          <w:sz w:val="32"/>
          <w:szCs w:val="32"/>
        </w:rPr>
        <w:t>【2022】</w:t>
      </w:r>
      <w:r>
        <w:rPr>
          <w:rFonts w:hint="eastAsia" w:ascii="仿宋" w:hAnsi="仿宋" w:eastAsia="仿宋" w:cs="仿宋_GB2312"/>
          <w:sz w:val="32"/>
          <w:szCs w:val="32"/>
        </w:rPr>
        <w:t>21号</w:t>
      </w:r>
      <w:r>
        <w:rPr>
          <w:rFonts w:ascii="仿宋" w:hAnsi="仿宋" w:eastAsia="仿宋" w:cs="仿宋_GB2312"/>
          <w:sz w:val="32"/>
          <w:szCs w:val="32"/>
        </w:rPr>
        <w:t>文件</w:t>
      </w:r>
      <w:r>
        <w:rPr>
          <w:rFonts w:hint="eastAsia" w:ascii="仿宋" w:hAnsi="仿宋" w:eastAsia="仿宋" w:cs="仿宋_GB2312"/>
          <w:sz w:val="32"/>
          <w:szCs w:val="32"/>
        </w:rPr>
        <w:t>精神，高质量完成项目审批、有效投资、公共企事业单位、政策解读等政</w:t>
      </w:r>
      <w:r>
        <w:rPr>
          <w:rFonts w:ascii="仿宋" w:hAnsi="仿宋" w:eastAsia="仿宋" w:cs="仿宋_GB2312"/>
          <w:sz w:val="32"/>
          <w:szCs w:val="32"/>
        </w:rPr>
        <w:t>府</w:t>
      </w:r>
      <w:r>
        <w:rPr>
          <w:rFonts w:hint="eastAsia" w:ascii="仿宋" w:hAnsi="仿宋" w:eastAsia="仿宋" w:cs="仿宋_GB2312"/>
          <w:sz w:val="32"/>
          <w:szCs w:val="32"/>
        </w:rPr>
        <w:t>信息公开的牵头工作，加强政务舆情的监测和风险研判，更好回应人民群众和市场主体关切，为经济社会发展营造良好的氛围。</w:t>
      </w:r>
    </w:p>
    <w:p w14:paraId="13A29C79">
      <w:pPr>
        <w:pStyle w:val="7"/>
        <w:spacing w:before="0" w:beforeAutospacing="0" w:after="0" w:afterAutospacing="0" w:line="450" w:lineRule="atLeast"/>
        <w:ind w:firstLine="634" w:firstLineChars="200"/>
        <w:rPr>
          <w:rFonts w:ascii="黑体" w:hAnsi="华文仿宋" w:eastAsia="黑体"/>
          <w:color w:val="333333"/>
        </w:rPr>
      </w:pPr>
      <w:r>
        <w:rPr>
          <w:rFonts w:hint="eastAsia" w:ascii="黑体" w:hAnsi="华文仿宋" w:eastAsia="黑体"/>
          <w:sz w:val="32"/>
          <w:szCs w:val="32"/>
        </w:rPr>
        <w:t>二、主动公开政府信息情况</w:t>
      </w:r>
    </w:p>
    <w:tbl>
      <w:tblPr>
        <w:tblStyle w:val="8"/>
        <w:tblW w:w="106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4"/>
        <w:gridCol w:w="1849"/>
        <w:gridCol w:w="2093"/>
        <w:gridCol w:w="3758"/>
      </w:tblGrid>
      <w:tr w14:paraId="79504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4" w:type="dxa"/>
            <w:gridSpan w:val="4"/>
          </w:tcPr>
          <w:p w14:paraId="618D5CC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第二十条第（一）项</w:t>
            </w:r>
          </w:p>
        </w:tc>
      </w:tr>
      <w:tr w14:paraId="51748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4" w:type="dxa"/>
          </w:tcPr>
          <w:p w14:paraId="21D2782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信息内容</w:t>
            </w:r>
          </w:p>
        </w:tc>
        <w:tc>
          <w:tcPr>
            <w:tcW w:w="1849" w:type="dxa"/>
          </w:tcPr>
          <w:p w14:paraId="66C53BA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本年制</w:t>
            </w:r>
            <w:r>
              <w:rPr>
                <w:rFonts w:ascii="华文仿宋" w:hAnsi="华文仿宋" w:eastAsia="华文仿宋" w:cs="仿宋"/>
                <w:szCs w:val="21"/>
              </w:rPr>
              <w:t>发件数</w:t>
            </w:r>
          </w:p>
        </w:tc>
        <w:tc>
          <w:tcPr>
            <w:tcW w:w="2093" w:type="dxa"/>
          </w:tcPr>
          <w:p w14:paraId="3BDEFC8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本年</w:t>
            </w:r>
            <w:r>
              <w:rPr>
                <w:rFonts w:ascii="华文仿宋" w:hAnsi="华文仿宋" w:eastAsia="华文仿宋" w:cs="仿宋"/>
                <w:szCs w:val="21"/>
              </w:rPr>
              <w:t>废止件数</w:t>
            </w:r>
          </w:p>
        </w:tc>
        <w:tc>
          <w:tcPr>
            <w:tcW w:w="3758" w:type="dxa"/>
          </w:tcPr>
          <w:p w14:paraId="48AAACD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现行有效件数</w:t>
            </w:r>
          </w:p>
        </w:tc>
      </w:tr>
      <w:tr w14:paraId="25D07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4" w:type="dxa"/>
          </w:tcPr>
          <w:p w14:paraId="07D98C8E">
            <w:pPr>
              <w:jc w:val="left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规章</w:t>
            </w:r>
          </w:p>
        </w:tc>
        <w:tc>
          <w:tcPr>
            <w:tcW w:w="1849" w:type="dxa"/>
          </w:tcPr>
          <w:p w14:paraId="24B0104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2093" w:type="dxa"/>
          </w:tcPr>
          <w:p w14:paraId="6688023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3758" w:type="dxa"/>
          </w:tcPr>
          <w:p w14:paraId="3F428F4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50D2B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4" w:type="dxa"/>
          </w:tcPr>
          <w:p w14:paraId="5E15FCD0">
            <w:pPr>
              <w:jc w:val="left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规范性文件</w:t>
            </w:r>
          </w:p>
        </w:tc>
        <w:tc>
          <w:tcPr>
            <w:tcW w:w="1849" w:type="dxa"/>
          </w:tcPr>
          <w:p w14:paraId="349DD29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2093" w:type="dxa"/>
          </w:tcPr>
          <w:p w14:paraId="5D3D701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3758" w:type="dxa"/>
          </w:tcPr>
          <w:p w14:paraId="4200E51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3</w:t>
            </w:r>
          </w:p>
        </w:tc>
      </w:tr>
      <w:tr w14:paraId="27389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84" w:type="dxa"/>
            <w:gridSpan w:val="4"/>
          </w:tcPr>
          <w:p w14:paraId="6E00ADC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第二十条第（五）项</w:t>
            </w:r>
          </w:p>
        </w:tc>
      </w:tr>
      <w:tr w14:paraId="041DF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984" w:type="dxa"/>
          </w:tcPr>
          <w:p w14:paraId="3EF08F5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信息内容</w:t>
            </w:r>
          </w:p>
        </w:tc>
        <w:tc>
          <w:tcPr>
            <w:tcW w:w="7700" w:type="dxa"/>
            <w:gridSpan w:val="3"/>
          </w:tcPr>
          <w:p w14:paraId="74DCD697">
            <w:pPr>
              <w:ind w:firstLine="1553" w:firstLineChars="750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本年处理决定数量</w:t>
            </w:r>
          </w:p>
        </w:tc>
      </w:tr>
      <w:tr w14:paraId="2B0E6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4" w:type="dxa"/>
          </w:tcPr>
          <w:p w14:paraId="083ED45D">
            <w:pPr>
              <w:jc w:val="left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行政许可</w:t>
            </w:r>
          </w:p>
        </w:tc>
        <w:tc>
          <w:tcPr>
            <w:tcW w:w="7700" w:type="dxa"/>
            <w:gridSpan w:val="3"/>
          </w:tcPr>
          <w:p w14:paraId="5E0C8CD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</w:tr>
      <w:tr w14:paraId="32D25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84" w:type="dxa"/>
            <w:gridSpan w:val="4"/>
          </w:tcPr>
          <w:p w14:paraId="09C0681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第二十条第（六）项</w:t>
            </w:r>
          </w:p>
        </w:tc>
      </w:tr>
      <w:tr w14:paraId="7542A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4" w:type="dxa"/>
          </w:tcPr>
          <w:p w14:paraId="281B018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信息内容</w:t>
            </w:r>
          </w:p>
        </w:tc>
        <w:tc>
          <w:tcPr>
            <w:tcW w:w="7700" w:type="dxa"/>
            <w:gridSpan w:val="3"/>
          </w:tcPr>
          <w:p w14:paraId="6B204F9B">
            <w:pPr>
              <w:ind w:firstLine="1553" w:firstLineChars="750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本年处理决定数理</w:t>
            </w:r>
          </w:p>
        </w:tc>
      </w:tr>
      <w:tr w14:paraId="21ED6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4" w:type="dxa"/>
          </w:tcPr>
          <w:p w14:paraId="4EEEA449">
            <w:pPr>
              <w:jc w:val="left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行政处罚</w:t>
            </w:r>
          </w:p>
        </w:tc>
        <w:tc>
          <w:tcPr>
            <w:tcW w:w="7700" w:type="dxa"/>
            <w:gridSpan w:val="3"/>
          </w:tcPr>
          <w:p w14:paraId="565EDC3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651D2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4" w:type="dxa"/>
          </w:tcPr>
          <w:p w14:paraId="423BF081">
            <w:pPr>
              <w:jc w:val="left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行政强制</w:t>
            </w:r>
          </w:p>
        </w:tc>
        <w:tc>
          <w:tcPr>
            <w:tcW w:w="7700" w:type="dxa"/>
            <w:gridSpan w:val="3"/>
          </w:tcPr>
          <w:p w14:paraId="54A42FD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00178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84" w:type="dxa"/>
            <w:gridSpan w:val="4"/>
          </w:tcPr>
          <w:p w14:paraId="734D22C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第二十条第（八）项</w:t>
            </w:r>
          </w:p>
        </w:tc>
      </w:tr>
      <w:tr w14:paraId="4461D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4" w:type="dxa"/>
          </w:tcPr>
          <w:p w14:paraId="6918CC3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信息内容</w:t>
            </w:r>
          </w:p>
        </w:tc>
        <w:tc>
          <w:tcPr>
            <w:tcW w:w="7700" w:type="dxa"/>
            <w:gridSpan w:val="3"/>
          </w:tcPr>
          <w:p w14:paraId="187B3B02">
            <w:pPr>
              <w:ind w:firstLine="1035" w:firstLineChars="500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本年收费金额（单位：万元）</w:t>
            </w:r>
          </w:p>
        </w:tc>
      </w:tr>
      <w:tr w14:paraId="2F62C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4" w:type="dxa"/>
          </w:tcPr>
          <w:p w14:paraId="7C5A8834">
            <w:pPr>
              <w:jc w:val="left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行政事业性收费</w:t>
            </w:r>
          </w:p>
        </w:tc>
        <w:tc>
          <w:tcPr>
            <w:tcW w:w="7700" w:type="dxa"/>
            <w:gridSpan w:val="3"/>
          </w:tcPr>
          <w:p w14:paraId="16360E3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</w:tr>
    </w:tbl>
    <w:p w14:paraId="2B4B9913">
      <w:pPr>
        <w:ind w:right="1280" w:firstLine="634" w:firstLineChars="200"/>
        <w:rPr>
          <w:rFonts w:ascii="黑体" w:hAnsi="华文仿宋" w:eastAsia="黑体" w:cs="仿宋"/>
          <w:sz w:val="32"/>
          <w:szCs w:val="32"/>
        </w:rPr>
      </w:pPr>
      <w:r>
        <w:rPr>
          <w:rFonts w:hint="eastAsia" w:ascii="黑体" w:hAnsi="华文仿宋" w:eastAsia="黑体" w:cs="仿宋"/>
          <w:sz w:val="32"/>
          <w:szCs w:val="32"/>
        </w:rPr>
        <w:t>三、收到和处理政府信息公开申请情况</w:t>
      </w:r>
    </w:p>
    <w:tbl>
      <w:tblPr>
        <w:tblStyle w:val="8"/>
        <w:tblW w:w="10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851"/>
        <w:gridCol w:w="1690"/>
        <w:gridCol w:w="525"/>
        <w:gridCol w:w="666"/>
        <w:gridCol w:w="834"/>
        <w:gridCol w:w="833"/>
        <w:gridCol w:w="1042"/>
        <w:gridCol w:w="1020"/>
        <w:gridCol w:w="1707"/>
      </w:tblGrid>
      <w:tr w14:paraId="61D94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26" w:type="dxa"/>
            <w:gridSpan w:val="3"/>
            <w:vMerge w:val="restart"/>
            <w:vAlign w:val="center"/>
          </w:tcPr>
          <w:p w14:paraId="72E24BA7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（本列数据的勾关系为：第一项加第二项之和，等于第三项加第四项之和）</w:t>
            </w:r>
          </w:p>
        </w:tc>
        <w:tc>
          <w:tcPr>
            <w:tcW w:w="6627" w:type="dxa"/>
            <w:gridSpan w:val="7"/>
          </w:tcPr>
          <w:p w14:paraId="7F10E7C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申请人情况</w:t>
            </w:r>
          </w:p>
        </w:tc>
      </w:tr>
      <w:tr w14:paraId="1C839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4126" w:type="dxa"/>
            <w:gridSpan w:val="3"/>
            <w:vMerge w:val="continue"/>
          </w:tcPr>
          <w:p w14:paraId="1A59AF0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525" w:type="dxa"/>
            <w:vMerge w:val="restart"/>
            <w:vAlign w:val="center"/>
          </w:tcPr>
          <w:p w14:paraId="5D2399DF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自然人</w:t>
            </w:r>
          </w:p>
        </w:tc>
        <w:tc>
          <w:tcPr>
            <w:tcW w:w="4395" w:type="dxa"/>
            <w:gridSpan w:val="5"/>
          </w:tcPr>
          <w:p w14:paraId="2A15CCF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法人或其他组织</w:t>
            </w:r>
          </w:p>
        </w:tc>
        <w:tc>
          <w:tcPr>
            <w:tcW w:w="1707" w:type="dxa"/>
            <w:vMerge w:val="restart"/>
            <w:vAlign w:val="center"/>
          </w:tcPr>
          <w:p w14:paraId="48836065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总计</w:t>
            </w:r>
          </w:p>
        </w:tc>
      </w:tr>
      <w:tr w14:paraId="3D2DA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4126" w:type="dxa"/>
            <w:gridSpan w:val="3"/>
            <w:vMerge w:val="continue"/>
          </w:tcPr>
          <w:p w14:paraId="0FDC1D2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525" w:type="dxa"/>
            <w:vMerge w:val="continue"/>
          </w:tcPr>
          <w:p w14:paraId="7939536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666" w:type="dxa"/>
            <w:vAlign w:val="center"/>
          </w:tcPr>
          <w:p w14:paraId="7F7E401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商业</w:t>
            </w:r>
          </w:p>
          <w:p w14:paraId="54A5E57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企业</w:t>
            </w:r>
          </w:p>
        </w:tc>
        <w:tc>
          <w:tcPr>
            <w:tcW w:w="834" w:type="dxa"/>
            <w:vAlign w:val="center"/>
          </w:tcPr>
          <w:p w14:paraId="0AC263D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科研</w:t>
            </w:r>
          </w:p>
          <w:p w14:paraId="1C8F6D1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机构</w:t>
            </w:r>
          </w:p>
        </w:tc>
        <w:tc>
          <w:tcPr>
            <w:tcW w:w="833" w:type="dxa"/>
            <w:vAlign w:val="center"/>
          </w:tcPr>
          <w:p w14:paraId="460B5FF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社会公益组织</w:t>
            </w:r>
          </w:p>
        </w:tc>
        <w:tc>
          <w:tcPr>
            <w:tcW w:w="1042" w:type="dxa"/>
            <w:vAlign w:val="center"/>
          </w:tcPr>
          <w:p w14:paraId="0EACDFB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法律服务机构</w:t>
            </w:r>
          </w:p>
        </w:tc>
        <w:tc>
          <w:tcPr>
            <w:tcW w:w="1020" w:type="dxa"/>
            <w:vAlign w:val="center"/>
          </w:tcPr>
          <w:p w14:paraId="76CB78F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其他</w:t>
            </w:r>
          </w:p>
        </w:tc>
        <w:tc>
          <w:tcPr>
            <w:tcW w:w="1707" w:type="dxa"/>
            <w:vMerge w:val="continue"/>
          </w:tcPr>
          <w:p w14:paraId="497FA8A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</w:tr>
      <w:tr w14:paraId="30E71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4126" w:type="dxa"/>
            <w:gridSpan w:val="3"/>
          </w:tcPr>
          <w:p w14:paraId="62D2B16B">
            <w:pPr>
              <w:jc w:val="left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一、本年新收政府信息公开申请数量</w:t>
            </w:r>
          </w:p>
        </w:tc>
        <w:tc>
          <w:tcPr>
            <w:tcW w:w="525" w:type="dxa"/>
            <w:vAlign w:val="center"/>
          </w:tcPr>
          <w:p w14:paraId="63A4B4E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3</w:t>
            </w:r>
          </w:p>
        </w:tc>
        <w:tc>
          <w:tcPr>
            <w:tcW w:w="666" w:type="dxa"/>
            <w:vAlign w:val="center"/>
          </w:tcPr>
          <w:p w14:paraId="059BBB1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4B09007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40BF871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69D08DD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49AE4B35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2648D91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3</w:t>
            </w:r>
          </w:p>
        </w:tc>
      </w:tr>
      <w:tr w14:paraId="1E824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4126" w:type="dxa"/>
            <w:gridSpan w:val="3"/>
          </w:tcPr>
          <w:p w14:paraId="66227335">
            <w:pPr>
              <w:jc w:val="left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二、上年结转政府信息公开申请数量</w:t>
            </w:r>
          </w:p>
        </w:tc>
        <w:tc>
          <w:tcPr>
            <w:tcW w:w="525" w:type="dxa"/>
            <w:vAlign w:val="center"/>
          </w:tcPr>
          <w:p w14:paraId="627F8B8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783E3CE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3CA37D4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1660145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036AC4E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15C320E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08C5AB3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2CB0D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585" w:type="dxa"/>
            <w:vMerge w:val="restart"/>
          </w:tcPr>
          <w:p w14:paraId="6930ECE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26941F6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17CA954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4F6AA15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1EFB046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490A440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242BD1B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3A04B0C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 xml:space="preserve">  三、</w:t>
            </w:r>
          </w:p>
          <w:p w14:paraId="7411C2C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本</w:t>
            </w:r>
          </w:p>
          <w:p w14:paraId="709A093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年</w:t>
            </w:r>
          </w:p>
          <w:p w14:paraId="18178E6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度</w:t>
            </w:r>
          </w:p>
          <w:p w14:paraId="4BB1884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办</w:t>
            </w:r>
          </w:p>
          <w:p w14:paraId="3EC57AB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理</w:t>
            </w:r>
          </w:p>
          <w:p w14:paraId="617E6E7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结</w:t>
            </w:r>
          </w:p>
          <w:p w14:paraId="291BFF9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果</w:t>
            </w:r>
          </w:p>
          <w:p w14:paraId="0903705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706065E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1A0A0A5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7904B77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58BDED4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4B0C358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2083F23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0DEC598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321DC19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5CFDAFF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3ED8342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2ED8095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47FE67D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0AC5FA5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2541" w:type="dxa"/>
            <w:gridSpan w:val="2"/>
            <w:vAlign w:val="center"/>
          </w:tcPr>
          <w:p w14:paraId="7EDB7D9A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（一）予以公开</w:t>
            </w:r>
          </w:p>
        </w:tc>
        <w:tc>
          <w:tcPr>
            <w:tcW w:w="525" w:type="dxa"/>
            <w:vAlign w:val="center"/>
          </w:tcPr>
          <w:p w14:paraId="6766C9A5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3</w:t>
            </w:r>
          </w:p>
        </w:tc>
        <w:tc>
          <w:tcPr>
            <w:tcW w:w="666" w:type="dxa"/>
            <w:vAlign w:val="center"/>
          </w:tcPr>
          <w:p w14:paraId="750791B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49E5B79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7BA1571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00C68D4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6273148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3EBA420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3</w:t>
            </w:r>
          </w:p>
        </w:tc>
      </w:tr>
      <w:tr w14:paraId="5A1BD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1585" w:type="dxa"/>
            <w:vMerge w:val="continue"/>
          </w:tcPr>
          <w:p w14:paraId="4FDEC46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2541" w:type="dxa"/>
            <w:gridSpan w:val="2"/>
          </w:tcPr>
          <w:p w14:paraId="2F6BA499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（二）部分公开（区分处理的，只计这一情形，不计其它情形）</w:t>
            </w:r>
          </w:p>
        </w:tc>
        <w:tc>
          <w:tcPr>
            <w:tcW w:w="525" w:type="dxa"/>
            <w:vAlign w:val="center"/>
          </w:tcPr>
          <w:p w14:paraId="11F4DCE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1F38271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484E17C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59A8A0F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10F5FCC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0393842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1250E3A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64274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585" w:type="dxa"/>
            <w:vMerge w:val="continue"/>
          </w:tcPr>
          <w:p w14:paraId="7A8D15B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restart"/>
          </w:tcPr>
          <w:p w14:paraId="78D4CB7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279A9B2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0C056E1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0E47216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3A56ED4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7C684AF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14FF6BA5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（三）不</w:t>
            </w:r>
          </w:p>
          <w:p w14:paraId="4C9C6A0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予</w:t>
            </w:r>
          </w:p>
          <w:p w14:paraId="5F5F6A7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公</w:t>
            </w:r>
          </w:p>
          <w:p w14:paraId="522AC79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开</w:t>
            </w:r>
          </w:p>
          <w:p w14:paraId="080AA23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06A36EE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36D9061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45CA286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2FA44EF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6E5D3483">
            <w:pPr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07AD34B5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1.属于国家秘密</w:t>
            </w:r>
          </w:p>
        </w:tc>
        <w:tc>
          <w:tcPr>
            <w:tcW w:w="525" w:type="dxa"/>
            <w:vAlign w:val="center"/>
          </w:tcPr>
          <w:p w14:paraId="3912714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02FFF99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3BC078F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2B2A810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6557743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42F801E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12ADBF4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37ABE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5" w:type="dxa"/>
            <w:vMerge w:val="continue"/>
          </w:tcPr>
          <w:p w14:paraId="71A35E55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0A18BB3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7EA75C1B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2.其他法律行政法规禁止公开</w:t>
            </w:r>
          </w:p>
        </w:tc>
        <w:tc>
          <w:tcPr>
            <w:tcW w:w="525" w:type="dxa"/>
            <w:vAlign w:val="center"/>
          </w:tcPr>
          <w:p w14:paraId="57D1A47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70749D7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0FF316A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6E0DCE8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567822B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7795D4B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58CB5FE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734C2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5" w:type="dxa"/>
            <w:vMerge w:val="continue"/>
          </w:tcPr>
          <w:p w14:paraId="13E1351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675E187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139F08DD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3.危及“三安全二稳定”</w:t>
            </w:r>
          </w:p>
        </w:tc>
        <w:tc>
          <w:tcPr>
            <w:tcW w:w="525" w:type="dxa"/>
            <w:vAlign w:val="center"/>
          </w:tcPr>
          <w:p w14:paraId="1B087C6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66F9894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0D8BF03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4BC6627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47B83D3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5758771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5666AEF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5F4FF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585" w:type="dxa"/>
            <w:vMerge w:val="continue"/>
          </w:tcPr>
          <w:p w14:paraId="5C7DB08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4890D26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1FD4164D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4.保护第三方合法权益</w:t>
            </w:r>
          </w:p>
        </w:tc>
        <w:tc>
          <w:tcPr>
            <w:tcW w:w="525" w:type="dxa"/>
            <w:vAlign w:val="center"/>
          </w:tcPr>
          <w:p w14:paraId="53EBF43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1516CA1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785A847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0583231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4C57F86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483C41E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019F16C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638DE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5" w:type="dxa"/>
            <w:vMerge w:val="continue"/>
          </w:tcPr>
          <w:p w14:paraId="7A27BCE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19C8AD0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27972322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5.属于三类内部事务信息</w:t>
            </w:r>
          </w:p>
        </w:tc>
        <w:tc>
          <w:tcPr>
            <w:tcW w:w="525" w:type="dxa"/>
            <w:vAlign w:val="center"/>
          </w:tcPr>
          <w:p w14:paraId="5D27673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38BF174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6AB0DBF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0838CFF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1443893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6AB08F5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06A0B11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0B8EA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585" w:type="dxa"/>
            <w:vMerge w:val="continue"/>
          </w:tcPr>
          <w:p w14:paraId="6E614E1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3A34727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31EC68CB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6.属于四类过程性信息</w:t>
            </w:r>
          </w:p>
        </w:tc>
        <w:tc>
          <w:tcPr>
            <w:tcW w:w="525" w:type="dxa"/>
            <w:vAlign w:val="center"/>
          </w:tcPr>
          <w:p w14:paraId="7C4985F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2CEF69D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4BD04FF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64D64F1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19EF071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0E48F22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44F881B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3D7FC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85" w:type="dxa"/>
            <w:vMerge w:val="continue"/>
          </w:tcPr>
          <w:p w14:paraId="196F406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729810F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132F8EBB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7.属于行政执法案卷</w:t>
            </w:r>
          </w:p>
        </w:tc>
        <w:tc>
          <w:tcPr>
            <w:tcW w:w="525" w:type="dxa"/>
            <w:vAlign w:val="center"/>
          </w:tcPr>
          <w:p w14:paraId="7EFDB8A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5CCDA3A5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375E369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5CDAD02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38DA4F2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50932ED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2C0CA53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122AE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85" w:type="dxa"/>
            <w:vMerge w:val="continue"/>
          </w:tcPr>
          <w:p w14:paraId="607DBCB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5C91BD8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04C2E89E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8.属于行政查询事项</w:t>
            </w:r>
          </w:p>
        </w:tc>
        <w:tc>
          <w:tcPr>
            <w:tcW w:w="525" w:type="dxa"/>
            <w:vAlign w:val="center"/>
          </w:tcPr>
          <w:p w14:paraId="3E682D0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45303C4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0C098C1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01A7CD25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192D551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55FD47A5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1C614D6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20025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5" w:type="dxa"/>
            <w:vMerge w:val="continue"/>
          </w:tcPr>
          <w:p w14:paraId="4B2F484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restart"/>
          </w:tcPr>
          <w:p w14:paraId="0826152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2F1232A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（四）无</w:t>
            </w:r>
          </w:p>
          <w:p w14:paraId="670C7EF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法</w:t>
            </w:r>
          </w:p>
          <w:p w14:paraId="7D2D0C0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提</w:t>
            </w:r>
          </w:p>
          <w:p w14:paraId="67EB5A7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供</w:t>
            </w:r>
          </w:p>
        </w:tc>
        <w:tc>
          <w:tcPr>
            <w:tcW w:w="1690" w:type="dxa"/>
            <w:vAlign w:val="center"/>
          </w:tcPr>
          <w:p w14:paraId="166237D8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1.本机关不掌握相关政府信息</w:t>
            </w:r>
          </w:p>
        </w:tc>
        <w:tc>
          <w:tcPr>
            <w:tcW w:w="525" w:type="dxa"/>
            <w:vAlign w:val="center"/>
          </w:tcPr>
          <w:p w14:paraId="5EB2CD8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7AF7251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64DEE74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62805D0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2A20A0C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5D86290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4B70CF6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</w:tr>
      <w:tr w14:paraId="7BDD2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585" w:type="dxa"/>
            <w:vMerge w:val="continue"/>
          </w:tcPr>
          <w:p w14:paraId="654FB475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6846C81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7D1B0DF9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2.没有现成信息需要另行制作</w:t>
            </w:r>
          </w:p>
        </w:tc>
        <w:tc>
          <w:tcPr>
            <w:tcW w:w="525" w:type="dxa"/>
            <w:vAlign w:val="center"/>
          </w:tcPr>
          <w:p w14:paraId="27250BB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1ECBB3B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767DA75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0CBBF15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2A10BD6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197538C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716BBA2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05C4F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5" w:type="dxa"/>
            <w:vMerge w:val="continue"/>
          </w:tcPr>
          <w:p w14:paraId="6ED3BC9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46E3931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003C11EB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3.补正后申请内容仍不明确</w:t>
            </w:r>
          </w:p>
        </w:tc>
        <w:tc>
          <w:tcPr>
            <w:tcW w:w="525" w:type="dxa"/>
            <w:vAlign w:val="center"/>
          </w:tcPr>
          <w:p w14:paraId="0295A9E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2F3F778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7112467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0AA4958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28D2303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7C1457B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452D17B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6DAA3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5" w:type="dxa"/>
            <w:vMerge w:val="continue"/>
          </w:tcPr>
          <w:p w14:paraId="29B1980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restart"/>
          </w:tcPr>
          <w:p w14:paraId="492D4A3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5188280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3497E8F6">
            <w:pPr>
              <w:rPr>
                <w:rFonts w:ascii="华文仿宋" w:hAnsi="华文仿宋" w:eastAsia="华文仿宋" w:cs="仿宋"/>
                <w:szCs w:val="21"/>
              </w:rPr>
            </w:pPr>
          </w:p>
          <w:p w14:paraId="23BB5D4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（五）不</w:t>
            </w:r>
          </w:p>
          <w:p w14:paraId="55F068F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予</w:t>
            </w:r>
          </w:p>
          <w:p w14:paraId="760F55D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处</w:t>
            </w:r>
          </w:p>
          <w:p w14:paraId="0EB993A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理</w:t>
            </w:r>
          </w:p>
        </w:tc>
        <w:tc>
          <w:tcPr>
            <w:tcW w:w="1690" w:type="dxa"/>
            <w:vAlign w:val="center"/>
          </w:tcPr>
          <w:p w14:paraId="7A5BA5F3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1.信访举报投诉类申请</w:t>
            </w:r>
          </w:p>
        </w:tc>
        <w:tc>
          <w:tcPr>
            <w:tcW w:w="525" w:type="dxa"/>
            <w:vAlign w:val="center"/>
          </w:tcPr>
          <w:p w14:paraId="3F37579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2E64A1E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3567689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2392123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120B217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7406D34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01F7AD1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343BF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5" w:type="dxa"/>
            <w:vMerge w:val="continue"/>
          </w:tcPr>
          <w:p w14:paraId="233EE02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6055183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1727D680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2.重复申请</w:t>
            </w:r>
          </w:p>
        </w:tc>
        <w:tc>
          <w:tcPr>
            <w:tcW w:w="525" w:type="dxa"/>
            <w:vAlign w:val="center"/>
          </w:tcPr>
          <w:p w14:paraId="6075D5A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3D048CA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1B59C3C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1B362D1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497005E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777E149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52C3A17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7142E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5" w:type="dxa"/>
            <w:vMerge w:val="continue"/>
          </w:tcPr>
          <w:p w14:paraId="7F17C87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6C1C35E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74D1746B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3.要求提供公开出版物</w:t>
            </w:r>
          </w:p>
        </w:tc>
        <w:tc>
          <w:tcPr>
            <w:tcW w:w="525" w:type="dxa"/>
            <w:vAlign w:val="center"/>
          </w:tcPr>
          <w:p w14:paraId="5AC47FD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49C8A05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540A21E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3191E2B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73CEF06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489BE3F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4CA92C8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3693A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5" w:type="dxa"/>
            <w:vMerge w:val="continue"/>
          </w:tcPr>
          <w:p w14:paraId="52486CE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5BEFB02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144950C7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4.无正当理由大量反复申请</w:t>
            </w:r>
          </w:p>
        </w:tc>
        <w:tc>
          <w:tcPr>
            <w:tcW w:w="525" w:type="dxa"/>
            <w:vAlign w:val="center"/>
          </w:tcPr>
          <w:p w14:paraId="1EF630A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4F5628C5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1C59CC3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1501877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50BF6FD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1832931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71DAF0B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1B728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5" w:type="dxa"/>
            <w:vMerge w:val="continue"/>
          </w:tcPr>
          <w:p w14:paraId="00DE128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30F44F6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6AF9319B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5.要求行政机关确认或重新出具已获取信息</w:t>
            </w:r>
          </w:p>
        </w:tc>
        <w:tc>
          <w:tcPr>
            <w:tcW w:w="525" w:type="dxa"/>
            <w:vAlign w:val="center"/>
          </w:tcPr>
          <w:p w14:paraId="1AFAE5A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42013C15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0552D8D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46CDF85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08A53D6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0ED41E2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02A1665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25157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85" w:type="dxa"/>
            <w:vMerge w:val="continue"/>
          </w:tcPr>
          <w:p w14:paraId="396C6B8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3055B69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  <w:p w14:paraId="4A08F5E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（六）</w:t>
            </w:r>
            <w:r>
              <w:rPr>
                <w:rFonts w:ascii="华文仿宋" w:hAnsi="华文仿宋" w:eastAsia="华文仿宋" w:cs="仿宋"/>
                <w:szCs w:val="21"/>
              </w:rPr>
              <w:t>其</w:t>
            </w:r>
          </w:p>
          <w:p w14:paraId="56CCDC3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他</w:t>
            </w:r>
          </w:p>
          <w:p w14:paraId="36E8FAC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处</w:t>
            </w:r>
          </w:p>
          <w:p w14:paraId="2724975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理</w:t>
            </w:r>
          </w:p>
        </w:tc>
        <w:tc>
          <w:tcPr>
            <w:tcW w:w="1690" w:type="dxa"/>
          </w:tcPr>
          <w:p w14:paraId="7C7B6F4E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525" w:type="dxa"/>
            <w:vAlign w:val="center"/>
          </w:tcPr>
          <w:p w14:paraId="395F292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76C9874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371C264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7C63F87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1D5CA02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17137E8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7721852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</w:tr>
      <w:tr w14:paraId="5E0CA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85" w:type="dxa"/>
            <w:vMerge w:val="continue"/>
          </w:tcPr>
          <w:p w14:paraId="5F29251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0A66B883">
            <w:pPr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</w:tcPr>
          <w:p w14:paraId="3B2C530B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525" w:type="dxa"/>
            <w:vAlign w:val="center"/>
          </w:tcPr>
          <w:p w14:paraId="0A0C4DB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23CE397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6DC0A9B5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43BD7C8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4C32F15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5A56FEC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76B8724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</w:tr>
      <w:tr w14:paraId="1A487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85" w:type="dxa"/>
            <w:vMerge w:val="continue"/>
          </w:tcPr>
          <w:p w14:paraId="33B072E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851" w:type="dxa"/>
            <w:vMerge w:val="continue"/>
          </w:tcPr>
          <w:p w14:paraId="54316725">
            <w:pPr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012CB9AA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3.其他</w:t>
            </w:r>
          </w:p>
        </w:tc>
        <w:tc>
          <w:tcPr>
            <w:tcW w:w="525" w:type="dxa"/>
            <w:vAlign w:val="center"/>
          </w:tcPr>
          <w:p w14:paraId="374696C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4152ACA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2BE9BB8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68CF295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6B44D5A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7D69C19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3399BE7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  <w:tr w14:paraId="1E919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585" w:type="dxa"/>
            <w:vMerge w:val="continue"/>
          </w:tcPr>
          <w:p w14:paraId="0F549A6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2541" w:type="dxa"/>
            <w:gridSpan w:val="2"/>
          </w:tcPr>
          <w:p w14:paraId="51A42682">
            <w:pPr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（七）总计</w:t>
            </w:r>
          </w:p>
        </w:tc>
        <w:tc>
          <w:tcPr>
            <w:tcW w:w="525" w:type="dxa"/>
            <w:vAlign w:val="center"/>
          </w:tcPr>
          <w:p w14:paraId="2D459AE5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3</w:t>
            </w:r>
          </w:p>
        </w:tc>
        <w:tc>
          <w:tcPr>
            <w:tcW w:w="666" w:type="dxa"/>
            <w:vAlign w:val="center"/>
          </w:tcPr>
          <w:p w14:paraId="4BB5E78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0F1EEB3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0218275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356CAE3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342E660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5FA5914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ascii="华文仿宋" w:hAnsi="华文仿宋" w:eastAsia="华文仿宋" w:cs="仿宋"/>
                <w:szCs w:val="21"/>
              </w:rPr>
              <w:t>3</w:t>
            </w:r>
          </w:p>
        </w:tc>
      </w:tr>
      <w:tr w14:paraId="63348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4126" w:type="dxa"/>
            <w:gridSpan w:val="3"/>
          </w:tcPr>
          <w:p w14:paraId="60E5DB8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四、结转下年度继续办理</w:t>
            </w:r>
          </w:p>
        </w:tc>
        <w:tc>
          <w:tcPr>
            <w:tcW w:w="525" w:type="dxa"/>
            <w:vAlign w:val="center"/>
          </w:tcPr>
          <w:p w14:paraId="185D575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666" w:type="dxa"/>
            <w:vAlign w:val="center"/>
          </w:tcPr>
          <w:p w14:paraId="22189FD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14:paraId="61C621D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833" w:type="dxa"/>
            <w:vAlign w:val="center"/>
          </w:tcPr>
          <w:p w14:paraId="4E51608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42" w:type="dxa"/>
            <w:vAlign w:val="center"/>
          </w:tcPr>
          <w:p w14:paraId="66C68129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020" w:type="dxa"/>
            <w:vAlign w:val="center"/>
          </w:tcPr>
          <w:p w14:paraId="4B1890E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1707" w:type="dxa"/>
            <w:vAlign w:val="center"/>
          </w:tcPr>
          <w:p w14:paraId="4960A14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</w:tbl>
    <w:p w14:paraId="020F2F20">
      <w:pPr>
        <w:ind w:firstLine="634" w:firstLineChars="200"/>
        <w:rPr>
          <w:rFonts w:ascii="黑体" w:hAnsi="华文仿宋" w:eastAsia="黑体" w:cs="仿宋"/>
          <w:sz w:val="32"/>
          <w:szCs w:val="32"/>
        </w:rPr>
      </w:pPr>
      <w:r>
        <w:rPr>
          <w:rFonts w:hint="eastAsia" w:ascii="黑体" w:hAnsi="华文仿宋" w:eastAsia="黑体" w:cs="仿宋"/>
          <w:sz w:val="32"/>
          <w:szCs w:val="32"/>
        </w:rPr>
        <w:t>四、政府信息公开行政复议、行政诉讼情况</w:t>
      </w:r>
    </w:p>
    <w:tbl>
      <w:tblPr>
        <w:tblStyle w:val="8"/>
        <w:tblW w:w="107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559"/>
        <w:gridCol w:w="559"/>
        <w:gridCol w:w="559"/>
        <w:gridCol w:w="559"/>
        <w:gridCol w:w="560"/>
        <w:gridCol w:w="560"/>
        <w:gridCol w:w="560"/>
        <w:gridCol w:w="560"/>
        <w:gridCol w:w="560"/>
        <w:gridCol w:w="560"/>
        <w:gridCol w:w="560"/>
        <w:gridCol w:w="560"/>
        <w:gridCol w:w="561"/>
        <w:gridCol w:w="2151"/>
      </w:tblGrid>
      <w:tr w14:paraId="3054F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3538" w:type="dxa"/>
            <w:gridSpan w:val="5"/>
            <w:vAlign w:val="center"/>
          </w:tcPr>
          <w:p w14:paraId="616FEB7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行政复议</w:t>
            </w:r>
          </w:p>
        </w:tc>
        <w:tc>
          <w:tcPr>
            <w:tcW w:w="7192" w:type="dxa"/>
            <w:gridSpan w:val="10"/>
            <w:vAlign w:val="center"/>
          </w:tcPr>
          <w:p w14:paraId="75E735B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行政诉讼</w:t>
            </w:r>
          </w:p>
        </w:tc>
      </w:tr>
      <w:tr w14:paraId="52E6C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302" w:type="dxa"/>
            <w:vMerge w:val="restart"/>
            <w:vAlign w:val="center"/>
          </w:tcPr>
          <w:p w14:paraId="39CAA88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结果维持</w:t>
            </w:r>
          </w:p>
        </w:tc>
        <w:tc>
          <w:tcPr>
            <w:tcW w:w="559" w:type="dxa"/>
            <w:vMerge w:val="restart"/>
            <w:vAlign w:val="center"/>
          </w:tcPr>
          <w:p w14:paraId="2D75336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结果纠正</w:t>
            </w:r>
          </w:p>
        </w:tc>
        <w:tc>
          <w:tcPr>
            <w:tcW w:w="559" w:type="dxa"/>
            <w:vMerge w:val="restart"/>
            <w:vAlign w:val="center"/>
          </w:tcPr>
          <w:p w14:paraId="0B905DA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其他结果</w:t>
            </w:r>
          </w:p>
        </w:tc>
        <w:tc>
          <w:tcPr>
            <w:tcW w:w="559" w:type="dxa"/>
            <w:vMerge w:val="restart"/>
            <w:vAlign w:val="center"/>
          </w:tcPr>
          <w:p w14:paraId="7FE86EC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尚未审结</w:t>
            </w:r>
          </w:p>
        </w:tc>
        <w:tc>
          <w:tcPr>
            <w:tcW w:w="559" w:type="dxa"/>
            <w:vMerge w:val="restart"/>
            <w:vAlign w:val="center"/>
          </w:tcPr>
          <w:p w14:paraId="33A0C9B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总计</w:t>
            </w:r>
          </w:p>
        </w:tc>
        <w:tc>
          <w:tcPr>
            <w:tcW w:w="2800" w:type="dxa"/>
            <w:gridSpan w:val="5"/>
            <w:vAlign w:val="center"/>
          </w:tcPr>
          <w:p w14:paraId="76297300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未经复议直接起诉</w:t>
            </w:r>
          </w:p>
        </w:tc>
        <w:tc>
          <w:tcPr>
            <w:tcW w:w="4392" w:type="dxa"/>
            <w:gridSpan w:val="5"/>
            <w:vAlign w:val="center"/>
          </w:tcPr>
          <w:p w14:paraId="7BF46E0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复议后起诉</w:t>
            </w:r>
          </w:p>
        </w:tc>
      </w:tr>
      <w:tr w14:paraId="6DDA4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2" w:type="dxa"/>
            <w:vMerge w:val="continue"/>
            <w:vAlign w:val="center"/>
          </w:tcPr>
          <w:p w14:paraId="4ADB7F0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559" w:type="dxa"/>
            <w:vMerge w:val="continue"/>
            <w:vAlign w:val="center"/>
          </w:tcPr>
          <w:p w14:paraId="17A48FF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559" w:type="dxa"/>
            <w:vMerge w:val="continue"/>
            <w:vAlign w:val="center"/>
          </w:tcPr>
          <w:p w14:paraId="1C71F33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559" w:type="dxa"/>
            <w:vMerge w:val="continue"/>
            <w:vAlign w:val="center"/>
          </w:tcPr>
          <w:p w14:paraId="62CEA13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559" w:type="dxa"/>
            <w:vMerge w:val="continue"/>
            <w:vAlign w:val="center"/>
          </w:tcPr>
          <w:p w14:paraId="1CFAFAB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</w:p>
        </w:tc>
        <w:tc>
          <w:tcPr>
            <w:tcW w:w="560" w:type="dxa"/>
            <w:vAlign w:val="center"/>
          </w:tcPr>
          <w:p w14:paraId="7938C24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结果维持</w:t>
            </w:r>
          </w:p>
        </w:tc>
        <w:tc>
          <w:tcPr>
            <w:tcW w:w="560" w:type="dxa"/>
            <w:vAlign w:val="center"/>
          </w:tcPr>
          <w:p w14:paraId="5CFB2E1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结果纠正</w:t>
            </w:r>
          </w:p>
        </w:tc>
        <w:tc>
          <w:tcPr>
            <w:tcW w:w="560" w:type="dxa"/>
            <w:vAlign w:val="center"/>
          </w:tcPr>
          <w:p w14:paraId="31AF3AB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其他结果</w:t>
            </w:r>
          </w:p>
        </w:tc>
        <w:tc>
          <w:tcPr>
            <w:tcW w:w="560" w:type="dxa"/>
            <w:vAlign w:val="center"/>
          </w:tcPr>
          <w:p w14:paraId="41698F12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尚未审结</w:t>
            </w:r>
          </w:p>
        </w:tc>
        <w:tc>
          <w:tcPr>
            <w:tcW w:w="560" w:type="dxa"/>
            <w:vAlign w:val="center"/>
          </w:tcPr>
          <w:p w14:paraId="648DB6F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总计</w:t>
            </w:r>
          </w:p>
        </w:tc>
        <w:tc>
          <w:tcPr>
            <w:tcW w:w="560" w:type="dxa"/>
            <w:vAlign w:val="center"/>
          </w:tcPr>
          <w:p w14:paraId="2EE608D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结果维持</w:t>
            </w:r>
          </w:p>
        </w:tc>
        <w:tc>
          <w:tcPr>
            <w:tcW w:w="560" w:type="dxa"/>
            <w:vAlign w:val="center"/>
          </w:tcPr>
          <w:p w14:paraId="7F38041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结果纠正</w:t>
            </w:r>
          </w:p>
        </w:tc>
        <w:tc>
          <w:tcPr>
            <w:tcW w:w="560" w:type="dxa"/>
            <w:vAlign w:val="center"/>
          </w:tcPr>
          <w:p w14:paraId="1EB0BE31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其他结果</w:t>
            </w:r>
          </w:p>
        </w:tc>
        <w:tc>
          <w:tcPr>
            <w:tcW w:w="561" w:type="dxa"/>
            <w:vAlign w:val="center"/>
          </w:tcPr>
          <w:p w14:paraId="37C9158C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尚未审结</w:t>
            </w:r>
          </w:p>
        </w:tc>
        <w:tc>
          <w:tcPr>
            <w:tcW w:w="2151" w:type="dxa"/>
            <w:vAlign w:val="center"/>
          </w:tcPr>
          <w:p w14:paraId="5AF9F30D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总计</w:t>
            </w:r>
          </w:p>
        </w:tc>
      </w:tr>
      <w:tr w14:paraId="77D01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302" w:type="dxa"/>
            <w:vAlign w:val="center"/>
          </w:tcPr>
          <w:p w14:paraId="2A167A2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559" w:type="dxa"/>
            <w:vAlign w:val="center"/>
          </w:tcPr>
          <w:p w14:paraId="101EFE2B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559" w:type="dxa"/>
            <w:vAlign w:val="center"/>
          </w:tcPr>
          <w:p w14:paraId="2902508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559" w:type="dxa"/>
            <w:vAlign w:val="center"/>
          </w:tcPr>
          <w:p w14:paraId="2FCF652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559" w:type="dxa"/>
            <w:vAlign w:val="center"/>
          </w:tcPr>
          <w:p w14:paraId="59A6AA9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560" w:type="dxa"/>
            <w:vAlign w:val="center"/>
          </w:tcPr>
          <w:p w14:paraId="48FC371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560" w:type="dxa"/>
            <w:vAlign w:val="center"/>
          </w:tcPr>
          <w:p w14:paraId="19F07658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560" w:type="dxa"/>
            <w:vAlign w:val="center"/>
          </w:tcPr>
          <w:p w14:paraId="1BD85537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560" w:type="dxa"/>
            <w:vAlign w:val="center"/>
          </w:tcPr>
          <w:p w14:paraId="62FED60E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560" w:type="dxa"/>
            <w:vAlign w:val="center"/>
          </w:tcPr>
          <w:p w14:paraId="5CBD3835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560" w:type="dxa"/>
            <w:vAlign w:val="center"/>
          </w:tcPr>
          <w:p w14:paraId="76CFB853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560" w:type="dxa"/>
            <w:vAlign w:val="center"/>
          </w:tcPr>
          <w:p w14:paraId="49C772D6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560" w:type="dxa"/>
            <w:vAlign w:val="center"/>
          </w:tcPr>
          <w:p w14:paraId="46C5290A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561" w:type="dxa"/>
            <w:vAlign w:val="center"/>
          </w:tcPr>
          <w:p w14:paraId="3DA2FB34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  <w:tc>
          <w:tcPr>
            <w:tcW w:w="2151" w:type="dxa"/>
            <w:vAlign w:val="center"/>
          </w:tcPr>
          <w:p w14:paraId="5A70545F">
            <w:pPr>
              <w:jc w:val="center"/>
              <w:rPr>
                <w:rFonts w:ascii="华文仿宋" w:hAnsi="华文仿宋" w:eastAsia="华文仿宋" w:cs="仿宋"/>
                <w:szCs w:val="21"/>
              </w:rPr>
            </w:pPr>
            <w:r>
              <w:rPr>
                <w:rFonts w:hint="eastAsia" w:ascii="华文仿宋" w:hAnsi="华文仿宋" w:eastAsia="华文仿宋" w:cs="仿宋"/>
                <w:szCs w:val="21"/>
              </w:rPr>
              <w:t>0</w:t>
            </w:r>
          </w:p>
        </w:tc>
      </w:tr>
    </w:tbl>
    <w:p w14:paraId="2BF5D4A3">
      <w:pPr>
        <w:numPr>
          <w:ilvl w:val="0"/>
          <w:numId w:val="1"/>
        </w:numPr>
        <w:ind w:firstLine="634" w:firstLineChars="200"/>
        <w:rPr>
          <w:rFonts w:ascii="黑体" w:hAnsi="华文仿宋" w:eastAsia="黑体" w:cs="仿宋"/>
          <w:sz w:val="32"/>
          <w:szCs w:val="32"/>
        </w:rPr>
      </w:pPr>
      <w:r>
        <w:rPr>
          <w:rFonts w:hint="eastAsia" w:ascii="黑体" w:hAnsi="华文仿宋" w:eastAsia="黑体" w:cs="仿宋"/>
          <w:sz w:val="32"/>
          <w:szCs w:val="32"/>
        </w:rPr>
        <w:t>存在的主要问题及改进</w:t>
      </w:r>
      <w:r>
        <w:rPr>
          <w:rFonts w:ascii="黑体" w:hAnsi="华文仿宋" w:eastAsia="黑体" w:cs="仿宋"/>
          <w:sz w:val="32"/>
          <w:szCs w:val="32"/>
        </w:rPr>
        <w:t>情况</w:t>
      </w:r>
    </w:p>
    <w:p w14:paraId="092EF0B6">
      <w:pPr>
        <w:ind w:firstLine="634" w:firstLineChars="200"/>
        <w:rPr>
          <w:rFonts w:ascii="仿宋" w:hAnsi="仿宋" w:eastAsia="仿宋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" w:hAnsi="仿宋" w:eastAsia="仿宋" w:cs="仿宋_GB2312"/>
          <w:color w:val="333333"/>
          <w:sz w:val="32"/>
          <w:szCs w:val="32"/>
          <w:shd w:val="clear" w:color="auto" w:fill="FFFFFF"/>
        </w:rPr>
        <w:t>我委政务公开工作虽然取得一定成绩，但</w:t>
      </w:r>
      <w:r>
        <w:rPr>
          <w:rFonts w:hint="eastAsia" w:ascii="仿宋" w:hAnsi="仿宋" w:eastAsia="仿宋" w:cs="仿宋_GB2312"/>
          <w:color w:val="333333"/>
          <w:sz w:val="32"/>
          <w:szCs w:val="32"/>
          <w:shd w:val="clear" w:color="auto" w:fill="FFFFFF"/>
        </w:rPr>
        <w:t>与</w:t>
      </w:r>
      <w:r>
        <w:rPr>
          <w:rFonts w:ascii="仿宋" w:hAnsi="仿宋" w:eastAsia="仿宋" w:cs="仿宋_GB2312"/>
          <w:color w:val="333333"/>
          <w:sz w:val="32"/>
          <w:szCs w:val="32"/>
          <w:shd w:val="clear" w:color="auto" w:fill="FFFFFF"/>
        </w:rPr>
        <w:t>上级部门和</w:t>
      </w:r>
      <w:r>
        <w:rPr>
          <w:rFonts w:hint="eastAsia" w:ascii="仿宋" w:hAnsi="仿宋" w:eastAsia="仿宋" w:cs="仿宋_GB2312"/>
          <w:color w:val="333333"/>
          <w:sz w:val="32"/>
          <w:szCs w:val="32"/>
          <w:shd w:val="clear" w:color="auto" w:fill="FFFFFF"/>
        </w:rPr>
        <w:t>人民群众的需求和期盼相比</w:t>
      </w:r>
      <w:r>
        <w:rPr>
          <w:rFonts w:ascii="仿宋" w:hAnsi="仿宋" w:eastAsia="仿宋" w:cs="仿宋_GB2312"/>
          <w:color w:val="333333"/>
          <w:sz w:val="32"/>
          <w:szCs w:val="32"/>
          <w:shd w:val="clear" w:color="auto" w:fill="FFFFFF"/>
        </w:rPr>
        <w:t>仍</w:t>
      </w:r>
      <w:r>
        <w:rPr>
          <w:rFonts w:hint="eastAsia" w:ascii="仿宋" w:hAnsi="仿宋" w:eastAsia="仿宋" w:cs="仿宋_GB2312"/>
          <w:color w:val="333333"/>
          <w:sz w:val="32"/>
          <w:szCs w:val="32"/>
          <w:shd w:val="clear" w:color="auto" w:fill="FFFFFF"/>
        </w:rPr>
        <w:t>有</w:t>
      </w:r>
      <w:r>
        <w:rPr>
          <w:rFonts w:ascii="仿宋" w:hAnsi="仿宋" w:eastAsia="仿宋" w:cs="仿宋_GB2312"/>
          <w:color w:val="333333"/>
          <w:sz w:val="32"/>
          <w:szCs w:val="32"/>
          <w:shd w:val="clear" w:color="auto" w:fill="FFFFFF"/>
        </w:rPr>
        <w:t>很大</w:t>
      </w:r>
      <w:r>
        <w:rPr>
          <w:rFonts w:hint="eastAsia" w:ascii="仿宋" w:hAnsi="仿宋" w:eastAsia="仿宋" w:cs="仿宋_GB2312"/>
          <w:color w:val="333333"/>
          <w:sz w:val="32"/>
          <w:szCs w:val="32"/>
          <w:shd w:val="clear" w:color="auto" w:fill="FFFFFF"/>
        </w:rPr>
        <w:t>距离，</w:t>
      </w:r>
      <w:r>
        <w:rPr>
          <w:rFonts w:ascii="仿宋" w:hAnsi="仿宋" w:eastAsia="仿宋" w:cs="仿宋_GB2312"/>
          <w:color w:val="333333"/>
          <w:sz w:val="32"/>
          <w:szCs w:val="32"/>
          <w:shd w:val="clear" w:color="auto" w:fill="FFFFFF"/>
        </w:rPr>
        <w:t>一是在具体的工作中存在标准不够高、不够细的问题；二是在公开内容的广度、深度和公开形式等方面需要进一步研究完善；三是</w:t>
      </w:r>
      <w:r>
        <w:rPr>
          <w:rFonts w:hint="eastAsia" w:ascii="仿宋" w:hAnsi="仿宋" w:eastAsia="仿宋" w:cs="仿宋_GB2312"/>
          <w:color w:val="333333"/>
          <w:sz w:val="32"/>
          <w:szCs w:val="32"/>
          <w:shd w:val="clear" w:color="auto" w:fill="FFFFFF"/>
        </w:rPr>
        <w:t>重点领域信息公开</w:t>
      </w:r>
      <w:r>
        <w:rPr>
          <w:rFonts w:ascii="仿宋" w:hAnsi="仿宋" w:eastAsia="仿宋" w:cs="仿宋_GB2312"/>
          <w:color w:val="333333"/>
          <w:sz w:val="32"/>
          <w:szCs w:val="32"/>
          <w:shd w:val="clear" w:color="auto" w:fill="FFFFFF"/>
        </w:rPr>
        <w:t>工作还存在一定的上升的空间。</w:t>
      </w:r>
    </w:p>
    <w:p w14:paraId="4EE4ED58">
      <w:pPr>
        <w:pStyle w:val="7"/>
        <w:shd w:val="clear" w:color="auto" w:fill="FFFFFF"/>
        <w:spacing w:before="0" w:beforeAutospacing="0" w:after="0" w:afterAutospacing="0" w:line="432" w:lineRule="atLeast"/>
        <w:ind w:firstLine="634" w:firstLineChars="200"/>
        <w:rPr>
          <w:rFonts w:ascii="仿宋" w:hAnsi="仿宋" w:eastAsia="仿宋" w:cs="仿宋_GB2312"/>
          <w:color w:val="333333"/>
          <w:sz w:val="32"/>
          <w:szCs w:val="32"/>
        </w:rPr>
      </w:pPr>
      <w:r>
        <w:rPr>
          <w:rFonts w:ascii="仿宋" w:hAnsi="仿宋" w:eastAsia="仿宋" w:cs="仿宋_GB2312"/>
          <w:color w:val="333333"/>
          <w:sz w:val="32"/>
          <w:szCs w:val="32"/>
          <w:shd w:val="clear" w:color="auto" w:fill="FFFFFF"/>
        </w:rPr>
        <w:t>下一步改进措施：一是将进一步提高全委对政府信息公开的重视程度，增强政府信息公开工作的责任感和使命感；二是加强各科室（部门）之间的信息联动，以防出现信息发布不及时或存在遗漏现象；三是落实政务公开工作机制，提升政务公开</w:t>
      </w:r>
      <w:r>
        <w:rPr>
          <w:rFonts w:hint="eastAsia" w:ascii="仿宋" w:hAnsi="仿宋" w:eastAsia="仿宋" w:cs="仿宋_GB2312"/>
          <w:color w:val="333333"/>
          <w:sz w:val="32"/>
          <w:szCs w:val="32"/>
          <w:shd w:val="clear" w:color="auto" w:fill="FFFFFF"/>
        </w:rPr>
        <w:t>工作</w:t>
      </w:r>
      <w:r>
        <w:rPr>
          <w:rFonts w:ascii="仿宋" w:hAnsi="仿宋" w:eastAsia="仿宋" w:cs="仿宋_GB2312"/>
          <w:color w:val="333333"/>
          <w:sz w:val="32"/>
          <w:szCs w:val="32"/>
          <w:shd w:val="clear" w:color="auto" w:fill="FFFFFF"/>
        </w:rPr>
        <w:t>规范化、</w:t>
      </w:r>
      <w:r>
        <w:rPr>
          <w:rFonts w:hint="eastAsia" w:ascii="仿宋" w:hAnsi="仿宋" w:eastAsia="仿宋" w:cs="仿宋_GB2312"/>
          <w:color w:val="333333"/>
          <w:sz w:val="32"/>
          <w:szCs w:val="32"/>
          <w:shd w:val="clear" w:color="auto" w:fill="FFFFFF"/>
        </w:rPr>
        <w:t>制度化水平</w:t>
      </w:r>
      <w:r>
        <w:rPr>
          <w:rFonts w:ascii="仿宋" w:hAnsi="仿宋" w:eastAsia="仿宋" w:cs="仿宋_GB2312"/>
          <w:color w:val="333333"/>
          <w:sz w:val="32"/>
          <w:szCs w:val="32"/>
          <w:shd w:val="clear" w:color="auto" w:fill="FFFFFF"/>
        </w:rPr>
        <w:t>；四是加强工作人员业务培训，全面提升政务公开工作质量和实效。</w:t>
      </w:r>
    </w:p>
    <w:p w14:paraId="5B11DF3D">
      <w:pPr>
        <w:widowControl/>
        <w:spacing w:line="450" w:lineRule="atLeast"/>
        <w:ind w:firstLine="622" w:firstLineChars="196"/>
        <w:jc w:val="left"/>
        <w:rPr>
          <w:rFonts w:ascii="黑体" w:hAnsi="华文仿宋" w:eastAsia="黑体" w:cs="仿宋"/>
          <w:sz w:val="32"/>
          <w:szCs w:val="32"/>
        </w:rPr>
      </w:pPr>
      <w:r>
        <w:rPr>
          <w:rFonts w:hint="eastAsia" w:ascii="黑体" w:hAnsi="华文仿宋" w:eastAsia="黑体" w:cs="仿宋"/>
          <w:sz w:val="32"/>
          <w:szCs w:val="32"/>
        </w:rPr>
        <w:t>六、其他需要报告的事项</w:t>
      </w:r>
    </w:p>
    <w:p w14:paraId="0AAC7379">
      <w:pPr>
        <w:widowControl/>
        <w:spacing w:line="450" w:lineRule="atLeast"/>
        <w:ind w:firstLine="622" w:firstLineChars="196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无。</w:t>
      </w:r>
    </w:p>
    <w:p w14:paraId="6161F3D5">
      <w:pPr>
        <w:jc w:val="center"/>
        <w:rPr>
          <w:rFonts w:ascii="华文仿宋" w:hAnsi="华文仿宋" w:eastAsia="华文仿宋"/>
          <w:sz w:val="28"/>
          <w:szCs w:val="28"/>
        </w:rPr>
      </w:pPr>
    </w:p>
    <w:sectPr>
      <w:pgSz w:w="11906" w:h="16838"/>
      <w:pgMar w:top="0" w:right="0" w:bottom="0" w:left="0" w:header="0" w:footer="0" w:gutter="0"/>
      <w:pgNumType w:fmt="numberInDash"/>
      <w:cols w:space="0" w:num="1"/>
      <w:docGrid w:type="linesAndChars" w:linePitch="330" w:charSpace="-7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FA4925"/>
    <w:multiLevelType w:val="singleLevel"/>
    <w:tmpl w:val="DBFA492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gutterAtTop/>
  <w:documentProtection w:enforcement="0"/>
  <w:defaultTabStop w:val="420"/>
  <w:drawingGridHorizontalSpacing w:val="103"/>
  <w:drawingGridVerticalSpacing w:val="165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2"/>
  </w:compat>
  <w:rsids>
    <w:rsidRoot w:val="0095494D"/>
    <w:rsid w:val="00000FC0"/>
    <w:rsid w:val="00034DB9"/>
    <w:rsid w:val="00087EFE"/>
    <w:rsid w:val="00092B16"/>
    <w:rsid w:val="00096C50"/>
    <w:rsid w:val="000A6C2B"/>
    <w:rsid w:val="000C148A"/>
    <w:rsid w:val="00151AC1"/>
    <w:rsid w:val="001B5306"/>
    <w:rsid w:val="001B6293"/>
    <w:rsid w:val="001D4BAC"/>
    <w:rsid w:val="002017A3"/>
    <w:rsid w:val="002848A4"/>
    <w:rsid w:val="002C2F0B"/>
    <w:rsid w:val="002E3725"/>
    <w:rsid w:val="002E4D4E"/>
    <w:rsid w:val="002F1257"/>
    <w:rsid w:val="002F684B"/>
    <w:rsid w:val="00327925"/>
    <w:rsid w:val="0034491D"/>
    <w:rsid w:val="00362933"/>
    <w:rsid w:val="00363771"/>
    <w:rsid w:val="003667C6"/>
    <w:rsid w:val="00375D00"/>
    <w:rsid w:val="00394B28"/>
    <w:rsid w:val="003A72F0"/>
    <w:rsid w:val="003B5189"/>
    <w:rsid w:val="00416F28"/>
    <w:rsid w:val="00420877"/>
    <w:rsid w:val="00431350"/>
    <w:rsid w:val="00444206"/>
    <w:rsid w:val="00477C2F"/>
    <w:rsid w:val="004A0073"/>
    <w:rsid w:val="004D3486"/>
    <w:rsid w:val="004E61A5"/>
    <w:rsid w:val="00512AEA"/>
    <w:rsid w:val="0051313C"/>
    <w:rsid w:val="005278C4"/>
    <w:rsid w:val="00531B1C"/>
    <w:rsid w:val="00546AA0"/>
    <w:rsid w:val="00547446"/>
    <w:rsid w:val="005657DD"/>
    <w:rsid w:val="005B088E"/>
    <w:rsid w:val="00607D26"/>
    <w:rsid w:val="00632D70"/>
    <w:rsid w:val="006346D3"/>
    <w:rsid w:val="0067594A"/>
    <w:rsid w:val="0069773A"/>
    <w:rsid w:val="00697CB4"/>
    <w:rsid w:val="006A2214"/>
    <w:rsid w:val="006C393F"/>
    <w:rsid w:val="006E32EC"/>
    <w:rsid w:val="006E461D"/>
    <w:rsid w:val="006F1BF6"/>
    <w:rsid w:val="006F31DA"/>
    <w:rsid w:val="007112C9"/>
    <w:rsid w:val="00727A65"/>
    <w:rsid w:val="007311AE"/>
    <w:rsid w:val="00766999"/>
    <w:rsid w:val="0077693A"/>
    <w:rsid w:val="007C296D"/>
    <w:rsid w:val="007D574D"/>
    <w:rsid w:val="007F3FE5"/>
    <w:rsid w:val="008402A3"/>
    <w:rsid w:val="0088061F"/>
    <w:rsid w:val="00890D55"/>
    <w:rsid w:val="008A380F"/>
    <w:rsid w:val="008B1E7E"/>
    <w:rsid w:val="008C296A"/>
    <w:rsid w:val="008C51F6"/>
    <w:rsid w:val="008E3B50"/>
    <w:rsid w:val="00925552"/>
    <w:rsid w:val="00947527"/>
    <w:rsid w:val="00953A6D"/>
    <w:rsid w:val="0095494D"/>
    <w:rsid w:val="00976021"/>
    <w:rsid w:val="00980E69"/>
    <w:rsid w:val="009929FA"/>
    <w:rsid w:val="009B37FE"/>
    <w:rsid w:val="009D1CF7"/>
    <w:rsid w:val="009D2E89"/>
    <w:rsid w:val="009E39A4"/>
    <w:rsid w:val="00A173E5"/>
    <w:rsid w:val="00A25227"/>
    <w:rsid w:val="00A41758"/>
    <w:rsid w:val="00A7402A"/>
    <w:rsid w:val="00A87389"/>
    <w:rsid w:val="00AB0586"/>
    <w:rsid w:val="00B24B32"/>
    <w:rsid w:val="00B66748"/>
    <w:rsid w:val="00B6796F"/>
    <w:rsid w:val="00B83456"/>
    <w:rsid w:val="00BB11C1"/>
    <w:rsid w:val="00BD037B"/>
    <w:rsid w:val="00BD15CC"/>
    <w:rsid w:val="00BD6420"/>
    <w:rsid w:val="00BE13F1"/>
    <w:rsid w:val="00C07F1E"/>
    <w:rsid w:val="00C27391"/>
    <w:rsid w:val="00C35A4F"/>
    <w:rsid w:val="00C86E1B"/>
    <w:rsid w:val="00CC2F55"/>
    <w:rsid w:val="00CC4F98"/>
    <w:rsid w:val="00D240B4"/>
    <w:rsid w:val="00D43C6F"/>
    <w:rsid w:val="00D50401"/>
    <w:rsid w:val="00D5749E"/>
    <w:rsid w:val="00D62663"/>
    <w:rsid w:val="00D658E4"/>
    <w:rsid w:val="00DB564C"/>
    <w:rsid w:val="00E335E5"/>
    <w:rsid w:val="00E36E56"/>
    <w:rsid w:val="00E57233"/>
    <w:rsid w:val="00E827AA"/>
    <w:rsid w:val="00E86D53"/>
    <w:rsid w:val="00EB5931"/>
    <w:rsid w:val="00EC5792"/>
    <w:rsid w:val="00F05C58"/>
    <w:rsid w:val="00F11752"/>
    <w:rsid w:val="00F5357F"/>
    <w:rsid w:val="00F6751E"/>
    <w:rsid w:val="00F71106"/>
    <w:rsid w:val="00F76A69"/>
    <w:rsid w:val="00F878A4"/>
    <w:rsid w:val="00F92749"/>
    <w:rsid w:val="00FA7080"/>
    <w:rsid w:val="00FA73AD"/>
    <w:rsid w:val="00FA7926"/>
    <w:rsid w:val="00FD5895"/>
    <w:rsid w:val="00FF03C5"/>
    <w:rsid w:val="06CC9149"/>
    <w:rsid w:val="0D3CBE5B"/>
    <w:rsid w:val="1557BCAB"/>
    <w:rsid w:val="1BFF2D60"/>
    <w:rsid w:val="1DCC18AA"/>
    <w:rsid w:val="1EE36574"/>
    <w:rsid w:val="1FEEF0F0"/>
    <w:rsid w:val="25EF288B"/>
    <w:rsid w:val="290E8B0F"/>
    <w:rsid w:val="2A4A3461"/>
    <w:rsid w:val="2EDBF450"/>
    <w:rsid w:val="36ED3B15"/>
    <w:rsid w:val="39DF394A"/>
    <w:rsid w:val="3F474FD8"/>
    <w:rsid w:val="4D0F7416"/>
    <w:rsid w:val="4EFE6717"/>
    <w:rsid w:val="51E938BA"/>
    <w:rsid w:val="5677DE40"/>
    <w:rsid w:val="5ADA4B2F"/>
    <w:rsid w:val="5EE1C043"/>
    <w:rsid w:val="5FFD274B"/>
    <w:rsid w:val="67D66968"/>
    <w:rsid w:val="67FF826A"/>
    <w:rsid w:val="68FDCA2B"/>
    <w:rsid w:val="699D5D85"/>
    <w:rsid w:val="6BF05ECD"/>
    <w:rsid w:val="6F6FBAEE"/>
    <w:rsid w:val="6F9B4B5C"/>
    <w:rsid w:val="6FDE2F21"/>
    <w:rsid w:val="6FDFD7D5"/>
    <w:rsid w:val="74B4BF4F"/>
    <w:rsid w:val="752A7BE4"/>
    <w:rsid w:val="776E9689"/>
    <w:rsid w:val="77B8E464"/>
    <w:rsid w:val="79FEC91F"/>
    <w:rsid w:val="7AFF1589"/>
    <w:rsid w:val="7BBFCD55"/>
    <w:rsid w:val="7BED6296"/>
    <w:rsid w:val="7CFFBCAD"/>
    <w:rsid w:val="7DBBBBF9"/>
    <w:rsid w:val="7EF55C4C"/>
    <w:rsid w:val="7F214640"/>
    <w:rsid w:val="7F968691"/>
    <w:rsid w:val="7FB75231"/>
    <w:rsid w:val="7FCF688D"/>
    <w:rsid w:val="7FDFDF28"/>
    <w:rsid w:val="8B7F93FE"/>
    <w:rsid w:val="8FD96203"/>
    <w:rsid w:val="93AF16D4"/>
    <w:rsid w:val="97EFAB45"/>
    <w:rsid w:val="97FF06F0"/>
    <w:rsid w:val="AFFF29FB"/>
    <w:rsid w:val="BD6C03A9"/>
    <w:rsid w:val="BF3D92EC"/>
    <w:rsid w:val="BF9C90A8"/>
    <w:rsid w:val="C9F375FE"/>
    <w:rsid w:val="CFDFE7C6"/>
    <w:rsid w:val="D37F5199"/>
    <w:rsid w:val="D56F18B9"/>
    <w:rsid w:val="DA3E816B"/>
    <w:rsid w:val="DB763B35"/>
    <w:rsid w:val="DBEF5697"/>
    <w:rsid w:val="DBF7D120"/>
    <w:rsid w:val="DBFF75A3"/>
    <w:rsid w:val="DDFD995F"/>
    <w:rsid w:val="DFC67BDA"/>
    <w:rsid w:val="DFCF31FF"/>
    <w:rsid w:val="DFF291A6"/>
    <w:rsid w:val="DFF74417"/>
    <w:rsid w:val="EC9F3C02"/>
    <w:rsid w:val="EDB79FB9"/>
    <w:rsid w:val="EDF9D83B"/>
    <w:rsid w:val="EE7FFBB4"/>
    <w:rsid w:val="EEEF15BC"/>
    <w:rsid w:val="EEFE3E5C"/>
    <w:rsid w:val="EF5F4885"/>
    <w:rsid w:val="EFC7AA94"/>
    <w:rsid w:val="EFFB1EA0"/>
    <w:rsid w:val="EFFE5941"/>
    <w:rsid w:val="F77EAF3E"/>
    <w:rsid w:val="F7BD6BCD"/>
    <w:rsid w:val="F7E0F4DE"/>
    <w:rsid w:val="F7E67684"/>
    <w:rsid w:val="F9BF1CC5"/>
    <w:rsid w:val="FABB2118"/>
    <w:rsid w:val="FB9FF460"/>
    <w:rsid w:val="FBBF3E27"/>
    <w:rsid w:val="FC67CE39"/>
    <w:rsid w:val="FC6F8177"/>
    <w:rsid w:val="FCFBAA73"/>
    <w:rsid w:val="FFBFCD61"/>
    <w:rsid w:val="FFEFD3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iPriority="99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0"/>
    <w:qFormat/>
    <w:uiPriority w:val="0"/>
    <w:pPr>
      <w:ind w:left="100" w:leftChars="2500"/>
    </w:pPr>
  </w:style>
  <w:style w:type="paragraph" w:styleId="4">
    <w:name w:val="Balloon Text"/>
    <w:basedOn w:val="1"/>
    <w:link w:val="18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  <w:style w:type="character" w:styleId="12">
    <w:name w:val="HTML Code"/>
    <w:basedOn w:val="10"/>
    <w:unhideWhenUsed/>
    <w:qFormat/>
    <w:uiPriority w:val="99"/>
    <w:rPr>
      <w:rFonts w:ascii="黑体" w:hAnsi="黑体" w:eastAsia="黑体" w:cs="黑体"/>
      <w:sz w:val="24"/>
      <w:szCs w:val="24"/>
    </w:rPr>
  </w:style>
  <w:style w:type="character" w:customStyle="1" w:styleId="13">
    <w:name w:val="页眉 Char"/>
    <w:basedOn w:val="10"/>
    <w:link w:val="6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kern w:val="2"/>
      <w:sz w:val="18"/>
      <w:szCs w:val="18"/>
    </w:rPr>
  </w:style>
  <w:style w:type="paragraph" w:customStyle="1" w:styleId="15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pre"/>
    <w:basedOn w:val="10"/>
    <w:qFormat/>
    <w:uiPriority w:val="0"/>
  </w:style>
  <w:style w:type="character" w:customStyle="1" w:styleId="17">
    <w:name w:val="next"/>
    <w:basedOn w:val="10"/>
    <w:qFormat/>
    <w:uiPriority w:val="0"/>
  </w:style>
  <w:style w:type="character" w:customStyle="1" w:styleId="18">
    <w:name w:val="批注框文本 Char"/>
    <w:basedOn w:val="10"/>
    <w:link w:val="4"/>
    <w:qFormat/>
    <w:uiPriority w:val="0"/>
    <w:rPr>
      <w:kern w:val="2"/>
      <w:sz w:val="18"/>
      <w:szCs w:val="18"/>
    </w:rPr>
  </w:style>
  <w:style w:type="paragraph" w:customStyle="1" w:styleId="19">
    <w:name w:val="cj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日期 Char"/>
    <w:basedOn w:val="10"/>
    <w:link w:val="3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4</Pages>
  <Words>2192</Words>
  <Characters>2238</Characters>
  <Lines>19</Lines>
  <Paragraphs>5</Paragraphs>
  <TotalTime>1577</TotalTime>
  <ScaleCrop>false</ScaleCrop>
  <LinksUpToDate>false</LinksUpToDate>
  <CharactersWithSpaces>2241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2021-05-01T10:44:00Z</dcterms:created>
  <dc:creator>Administrator</dc:creator>
  <cp:lastModifiedBy>大鱼儿</cp:lastModifiedBy>
  <cp:lastPrinted>2023-01-13T18:05:00Z</cp:lastPrinted>
  <dcterms:modified xsi:type="dcterms:W3CDTF">2024-12-12T08:21:29Z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4DC441A7E9944799946787DC6B9A8636_12</vt:lpwstr>
  </property>
</Properties>
</file>