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1A551">
      <w:pPr>
        <w:spacing w:line="640" w:lineRule="exact"/>
        <w:rPr>
          <w:rFonts w:hint="eastAsia" w:ascii="黑体" w:eastAsia="黑体"/>
          <w:sz w:val="32"/>
          <w:szCs w:val="32"/>
        </w:rPr>
      </w:pPr>
      <w:r>
        <w:rPr>
          <w:rFonts w:hint="eastAsia" w:ascii="黑体" w:eastAsia="黑体"/>
          <w:sz w:val="32"/>
          <w:szCs w:val="32"/>
        </w:rPr>
        <w:t>附件1</w:t>
      </w:r>
      <w:bookmarkStart w:id="0" w:name="_GoBack"/>
      <w:bookmarkEnd w:id="0"/>
    </w:p>
    <w:p w14:paraId="0A7BF8D6">
      <w:pPr>
        <w:spacing w:line="640" w:lineRule="exact"/>
        <w:jc w:val="center"/>
        <w:rPr>
          <w:rFonts w:hint="eastAsia" w:ascii="宋体" w:hAnsi="宋体"/>
          <w:b/>
          <w:sz w:val="44"/>
          <w:szCs w:val="44"/>
        </w:rPr>
      </w:pPr>
      <w:r>
        <w:rPr>
          <w:rFonts w:hint="eastAsia" w:ascii="宋体" w:hAnsi="宋体"/>
          <w:b/>
          <w:sz w:val="44"/>
          <w:szCs w:val="44"/>
        </w:rPr>
        <w:t>牡丹江市绿色建筑推广工作任务分解表</w:t>
      </w:r>
    </w:p>
    <w:tbl>
      <w:tblPr>
        <w:tblStyle w:val="3"/>
        <w:tblW w:w="14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8820"/>
        <w:gridCol w:w="1800"/>
        <w:gridCol w:w="1800"/>
        <w:gridCol w:w="1342"/>
      </w:tblGrid>
      <w:tr w14:paraId="1505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2E96E1C">
            <w:pPr>
              <w:spacing w:line="640" w:lineRule="exact"/>
              <w:jc w:val="center"/>
              <w:rPr>
                <w:rFonts w:hint="eastAsia" w:ascii="宋体" w:hAnsi="宋体"/>
                <w:b/>
                <w:sz w:val="24"/>
              </w:rPr>
            </w:pPr>
            <w:r>
              <w:rPr>
                <w:rFonts w:hint="eastAsia" w:ascii="宋体" w:hAnsi="宋体"/>
                <w:b/>
                <w:sz w:val="24"/>
              </w:rPr>
              <w:t>序号</w:t>
            </w:r>
          </w:p>
        </w:tc>
        <w:tc>
          <w:tcPr>
            <w:tcW w:w="8820" w:type="dxa"/>
            <w:noWrap w:val="0"/>
            <w:vAlign w:val="center"/>
          </w:tcPr>
          <w:p w14:paraId="1EA55FBF">
            <w:pPr>
              <w:spacing w:line="640" w:lineRule="exact"/>
              <w:jc w:val="center"/>
              <w:rPr>
                <w:rFonts w:hint="eastAsia" w:ascii="宋体" w:hAnsi="宋体"/>
                <w:b/>
                <w:sz w:val="24"/>
              </w:rPr>
            </w:pPr>
            <w:r>
              <w:rPr>
                <w:rFonts w:hint="eastAsia" w:ascii="宋体" w:hAnsi="宋体"/>
                <w:b/>
                <w:sz w:val="24"/>
              </w:rPr>
              <w:t>重    点    任   务</w:t>
            </w:r>
          </w:p>
        </w:tc>
        <w:tc>
          <w:tcPr>
            <w:tcW w:w="1800" w:type="dxa"/>
            <w:noWrap w:val="0"/>
            <w:vAlign w:val="center"/>
          </w:tcPr>
          <w:p w14:paraId="5B0F2B56">
            <w:pPr>
              <w:spacing w:line="640" w:lineRule="exact"/>
              <w:jc w:val="center"/>
              <w:rPr>
                <w:rFonts w:hint="eastAsia" w:ascii="宋体" w:hAnsi="宋体"/>
                <w:b/>
                <w:sz w:val="24"/>
              </w:rPr>
            </w:pPr>
            <w:r>
              <w:rPr>
                <w:rFonts w:hint="eastAsia" w:ascii="宋体" w:hAnsi="宋体"/>
                <w:b/>
                <w:sz w:val="24"/>
              </w:rPr>
              <w:t>市直责任部门</w:t>
            </w:r>
          </w:p>
        </w:tc>
        <w:tc>
          <w:tcPr>
            <w:tcW w:w="1800" w:type="dxa"/>
            <w:noWrap w:val="0"/>
            <w:vAlign w:val="center"/>
          </w:tcPr>
          <w:p w14:paraId="52B5248F">
            <w:pPr>
              <w:spacing w:line="640" w:lineRule="exact"/>
              <w:jc w:val="center"/>
              <w:rPr>
                <w:rFonts w:hint="eastAsia" w:ascii="宋体" w:hAnsi="宋体"/>
                <w:b/>
                <w:sz w:val="24"/>
              </w:rPr>
            </w:pPr>
            <w:r>
              <w:rPr>
                <w:rFonts w:hint="eastAsia" w:ascii="宋体" w:hAnsi="宋体"/>
                <w:b/>
                <w:sz w:val="24"/>
              </w:rPr>
              <w:t>市直配合部门</w:t>
            </w:r>
          </w:p>
        </w:tc>
        <w:tc>
          <w:tcPr>
            <w:tcW w:w="1342" w:type="dxa"/>
            <w:noWrap w:val="0"/>
            <w:vAlign w:val="center"/>
          </w:tcPr>
          <w:p w14:paraId="7350E42F">
            <w:pPr>
              <w:spacing w:line="640" w:lineRule="exact"/>
              <w:jc w:val="center"/>
              <w:rPr>
                <w:rFonts w:hint="eastAsia" w:ascii="宋体" w:hAnsi="宋体"/>
                <w:b/>
                <w:sz w:val="24"/>
              </w:rPr>
            </w:pPr>
            <w:r>
              <w:rPr>
                <w:rFonts w:hint="eastAsia" w:ascii="宋体" w:hAnsi="宋体"/>
                <w:b/>
                <w:sz w:val="24"/>
              </w:rPr>
              <w:t>备注</w:t>
            </w:r>
          </w:p>
        </w:tc>
      </w:tr>
      <w:tr w14:paraId="5B406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48" w:type="dxa"/>
            <w:noWrap w:val="0"/>
            <w:vAlign w:val="center"/>
          </w:tcPr>
          <w:p w14:paraId="1B741208">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w:t>
            </w:r>
          </w:p>
        </w:tc>
        <w:tc>
          <w:tcPr>
            <w:tcW w:w="8820" w:type="dxa"/>
            <w:noWrap w:val="0"/>
            <w:vAlign w:val="top"/>
          </w:tcPr>
          <w:p w14:paraId="47E3A648">
            <w:pPr>
              <w:spacing w:line="640" w:lineRule="exact"/>
              <w:rPr>
                <w:rFonts w:hint="eastAsia" w:ascii="宋体" w:hAnsi="宋体" w:cs="宋体"/>
                <w:color w:val="2B2B2B"/>
                <w:kern w:val="0"/>
                <w:szCs w:val="21"/>
              </w:rPr>
            </w:pPr>
            <w:r>
              <w:rPr>
                <w:rFonts w:hint="eastAsia" w:ascii="宋体" w:hAnsi="宋体" w:cs="宋体"/>
                <w:color w:val="2B2B2B"/>
                <w:kern w:val="0"/>
                <w:szCs w:val="21"/>
              </w:rPr>
              <w:t>将绿色建筑行动目标完成情况和措施落实情况纳入市（地）能耗总量和强度“双控”等目标责任考核体系。</w:t>
            </w:r>
          </w:p>
        </w:tc>
        <w:tc>
          <w:tcPr>
            <w:tcW w:w="1800" w:type="dxa"/>
            <w:noWrap w:val="0"/>
            <w:vAlign w:val="center"/>
          </w:tcPr>
          <w:p w14:paraId="79B95622">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市发改委</w:t>
            </w:r>
          </w:p>
        </w:tc>
        <w:tc>
          <w:tcPr>
            <w:tcW w:w="1800" w:type="dxa"/>
            <w:noWrap w:val="0"/>
            <w:vAlign w:val="center"/>
          </w:tcPr>
          <w:p w14:paraId="17CD90AB">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市统计局</w:t>
            </w:r>
          </w:p>
        </w:tc>
        <w:tc>
          <w:tcPr>
            <w:tcW w:w="1342" w:type="dxa"/>
            <w:noWrap w:val="0"/>
            <w:vAlign w:val="top"/>
          </w:tcPr>
          <w:p w14:paraId="5F91E0A9">
            <w:pPr>
              <w:spacing w:line="640" w:lineRule="exact"/>
              <w:jc w:val="center"/>
              <w:rPr>
                <w:rFonts w:hint="eastAsia" w:ascii="宋体" w:hAnsi="宋体" w:cs="宋体"/>
                <w:color w:val="2B2B2B"/>
                <w:kern w:val="0"/>
                <w:szCs w:val="21"/>
              </w:rPr>
            </w:pPr>
          </w:p>
        </w:tc>
      </w:tr>
      <w:tr w14:paraId="01758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4ABAE720">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w:t>
            </w:r>
          </w:p>
        </w:tc>
        <w:tc>
          <w:tcPr>
            <w:tcW w:w="8820" w:type="dxa"/>
            <w:noWrap w:val="0"/>
            <w:vAlign w:val="center"/>
          </w:tcPr>
          <w:p w14:paraId="1A1BB41C">
            <w:pPr>
              <w:spacing w:line="640" w:lineRule="exact"/>
              <w:rPr>
                <w:rFonts w:hint="eastAsia" w:ascii="宋体" w:hAnsi="宋体" w:cs="宋体"/>
                <w:color w:val="2B2B2B"/>
                <w:kern w:val="0"/>
                <w:szCs w:val="21"/>
              </w:rPr>
            </w:pPr>
            <w:r>
              <w:rPr>
                <w:rFonts w:hint="eastAsia" w:ascii="宋体" w:hAnsi="宋体" w:cs="宋体"/>
                <w:color w:val="2B2B2B"/>
                <w:kern w:val="0"/>
                <w:szCs w:val="21"/>
              </w:rPr>
              <w:t>将绿色建筑相关要求纳入固定资产投资项目节能审查范围。</w:t>
            </w:r>
          </w:p>
        </w:tc>
        <w:tc>
          <w:tcPr>
            <w:tcW w:w="1800" w:type="dxa"/>
            <w:noWrap w:val="0"/>
            <w:vAlign w:val="center"/>
          </w:tcPr>
          <w:p w14:paraId="14E135C6">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市发改委</w:t>
            </w:r>
          </w:p>
        </w:tc>
        <w:tc>
          <w:tcPr>
            <w:tcW w:w="1800" w:type="dxa"/>
            <w:noWrap w:val="0"/>
            <w:vAlign w:val="center"/>
          </w:tcPr>
          <w:p w14:paraId="646F5C98">
            <w:pPr>
              <w:spacing w:line="640" w:lineRule="exact"/>
              <w:jc w:val="center"/>
              <w:rPr>
                <w:rFonts w:hint="eastAsia" w:ascii="宋体" w:hAnsi="宋体" w:cs="宋体"/>
                <w:color w:val="2B2B2B"/>
                <w:kern w:val="0"/>
                <w:szCs w:val="21"/>
              </w:rPr>
            </w:pPr>
          </w:p>
        </w:tc>
        <w:tc>
          <w:tcPr>
            <w:tcW w:w="1342" w:type="dxa"/>
            <w:noWrap w:val="0"/>
            <w:vAlign w:val="top"/>
          </w:tcPr>
          <w:p w14:paraId="2DC5E42B">
            <w:pPr>
              <w:spacing w:line="640" w:lineRule="exact"/>
              <w:jc w:val="center"/>
              <w:rPr>
                <w:rFonts w:hint="eastAsia" w:ascii="宋体" w:hAnsi="宋体" w:cs="宋体"/>
                <w:color w:val="2B2B2B"/>
                <w:kern w:val="0"/>
                <w:szCs w:val="21"/>
              </w:rPr>
            </w:pPr>
          </w:p>
        </w:tc>
      </w:tr>
      <w:tr w14:paraId="2B89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31E6E924">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w:t>
            </w:r>
          </w:p>
        </w:tc>
        <w:tc>
          <w:tcPr>
            <w:tcW w:w="8820" w:type="dxa"/>
            <w:noWrap w:val="0"/>
            <w:vAlign w:val="top"/>
          </w:tcPr>
          <w:p w14:paraId="483CDEFD">
            <w:pPr>
              <w:spacing w:line="640" w:lineRule="exact"/>
              <w:rPr>
                <w:rFonts w:hint="eastAsia"/>
              </w:rPr>
            </w:pPr>
            <w:r>
              <w:rPr>
                <w:rFonts w:hint="eastAsia"/>
              </w:rPr>
              <w:t>对强制执行绿色建筑标准的建设项目，监督建设单位在编制项目建议书、可行性研究报告或项目申请报告中列明绿色建筑相关内容，并将有关成本纳入投资概预算。</w:t>
            </w:r>
          </w:p>
        </w:tc>
        <w:tc>
          <w:tcPr>
            <w:tcW w:w="1800" w:type="dxa"/>
            <w:noWrap w:val="0"/>
            <w:vAlign w:val="center"/>
          </w:tcPr>
          <w:p w14:paraId="4604A95D">
            <w:pPr>
              <w:spacing w:line="640" w:lineRule="exact"/>
              <w:jc w:val="center"/>
              <w:rPr>
                <w:rFonts w:hint="eastAsia"/>
              </w:rPr>
            </w:pPr>
            <w:r>
              <w:rPr>
                <w:rFonts w:hint="eastAsia"/>
              </w:rPr>
              <w:t>市发改委</w:t>
            </w:r>
          </w:p>
        </w:tc>
        <w:tc>
          <w:tcPr>
            <w:tcW w:w="1800" w:type="dxa"/>
            <w:noWrap w:val="0"/>
            <w:vAlign w:val="center"/>
          </w:tcPr>
          <w:p w14:paraId="08418424">
            <w:pPr>
              <w:spacing w:line="640" w:lineRule="exact"/>
              <w:jc w:val="center"/>
              <w:rPr>
                <w:rFonts w:hint="eastAsia"/>
              </w:rPr>
            </w:pPr>
          </w:p>
        </w:tc>
        <w:tc>
          <w:tcPr>
            <w:tcW w:w="1342" w:type="dxa"/>
            <w:noWrap w:val="0"/>
            <w:vAlign w:val="top"/>
          </w:tcPr>
          <w:p w14:paraId="48E3F2A4">
            <w:pPr>
              <w:spacing w:line="640" w:lineRule="exact"/>
              <w:jc w:val="center"/>
              <w:rPr>
                <w:rFonts w:hint="eastAsia" w:ascii="宋体" w:hAnsi="宋体" w:cs="宋体"/>
                <w:color w:val="2B2B2B"/>
                <w:kern w:val="0"/>
                <w:szCs w:val="21"/>
              </w:rPr>
            </w:pPr>
          </w:p>
        </w:tc>
      </w:tr>
      <w:tr w14:paraId="55F6E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4F5DFF89">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4</w:t>
            </w:r>
          </w:p>
        </w:tc>
        <w:tc>
          <w:tcPr>
            <w:tcW w:w="8820" w:type="dxa"/>
            <w:noWrap w:val="0"/>
            <w:vAlign w:val="top"/>
          </w:tcPr>
          <w:p w14:paraId="1921B4D6">
            <w:pPr>
              <w:spacing w:line="640" w:lineRule="exact"/>
              <w:rPr>
                <w:rFonts w:hint="eastAsia" w:ascii="宋体" w:hAnsi="宋体" w:cs="宋体"/>
                <w:color w:val="2B2B2B"/>
                <w:kern w:val="0"/>
                <w:szCs w:val="21"/>
              </w:rPr>
            </w:pPr>
            <w:r>
              <w:rPr>
                <w:rFonts w:hint="eastAsia" w:ascii="宋体" w:hAnsi="宋体" w:cs="宋体"/>
                <w:color w:val="2B2B2B"/>
                <w:kern w:val="0"/>
                <w:szCs w:val="21"/>
              </w:rPr>
              <w:t>遵循绿色生态发展原则，将绿色建筑比例、公共交通、可再生能源利用、土地集约利用、再生水利用、废弃物回收利用等生态环保指标体系纳入总体规划。</w:t>
            </w:r>
          </w:p>
        </w:tc>
        <w:tc>
          <w:tcPr>
            <w:tcW w:w="1800" w:type="dxa"/>
            <w:noWrap w:val="0"/>
            <w:vAlign w:val="center"/>
          </w:tcPr>
          <w:p w14:paraId="76C53958">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市规划局</w:t>
            </w:r>
          </w:p>
        </w:tc>
        <w:tc>
          <w:tcPr>
            <w:tcW w:w="1800" w:type="dxa"/>
            <w:noWrap w:val="0"/>
            <w:vAlign w:val="center"/>
          </w:tcPr>
          <w:p w14:paraId="1B17D3B5">
            <w:pPr>
              <w:spacing w:line="640" w:lineRule="exact"/>
              <w:jc w:val="center"/>
              <w:rPr>
                <w:rFonts w:hint="eastAsia" w:ascii="宋体" w:hAnsi="宋体" w:cs="宋体"/>
                <w:color w:val="2B2B2B"/>
                <w:kern w:val="0"/>
                <w:szCs w:val="21"/>
              </w:rPr>
            </w:pPr>
          </w:p>
        </w:tc>
        <w:tc>
          <w:tcPr>
            <w:tcW w:w="1342" w:type="dxa"/>
            <w:noWrap w:val="0"/>
            <w:vAlign w:val="top"/>
          </w:tcPr>
          <w:p w14:paraId="26D68C74">
            <w:pPr>
              <w:spacing w:line="640" w:lineRule="exact"/>
              <w:jc w:val="center"/>
              <w:rPr>
                <w:rFonts w:hint="eastAsia" w:ascii="宋体" w:hAnsi="宋体" w:cs="宋体"/>
                <w:color w:val="2B2B2B"/>
                <w:kern w:val="0"/>
                <w:szCs w:val="21"/>
              </w:rPr>
            </w:pPr>
          </w:p>
        </w:tc>
      </w:tr>
      <w:tr w14:paraId="10CC8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2F39D68E">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5</w:t>
            </w:r>
          </w:p>
        </w:tc>
        <w:tc>
          <w:tcPr>
            <w:tcW w:w="8820" w:type="dxa"/>
            <w:noWrap w:val="0"/>
            <w:vAlign w:val="top"/>
          </w:tcPr>
          <w:p w14:paraId="3C56B39B">
            <w:pPr>
              <w:spacing w:line="640" w:lineRule="exact"/>
              <w:rPr>
                <w:rFonts w:hint="eastAsia" w:ascii="宋体" w:hAnsi="宋体" w:cs="宋体"/>
                <w:color w:val="2B2B2B"/>
                <w:kern w:val="0"/>
                <w:szCs w:val="21"/>
              </w:rPr>
            </w:pPr>
            <w:r>
              <w:rPr>
                <w:rFonts w:hint="eastAsia" w:ascii="宋体" w:hAnsi="宋体" w:cs="宋体"/>
                <w:color w:val="2B2B2B"/>
                <w:kern w:val="0"/>
                <w:szCs w:val="21"/>
              </w:rPr>
              <w:t>编制城市、镇详细规划时，在建筑总体布局、建筑朝向、绿地设置等内容中充分考虑绿色建筑评价指标。</w:t>
            </w:r>
          </w:p>
        </w:tc>
        <w:tc>
          <w:tcPr>
            <w:tcW w:w="1800" w:type="dxa"/>
            <w:noWrap w:val="0"/>
            <w:vAlign w:val="center"/>
          </w:tcPr>
          <w:p w14:paraId="0282BB3E">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市规划局</w:t>
            </w:r>
          </w:p>
        </w:tc>
        <w:tc>
          <w:tcPr>
            <w:tcW w:w="1800" w:type="dxa"/>
            <w:noWrap w:val="0"/>
            <w:vAlign w:val="center"/>
          </w:tcPr>
          <w:p w14:paraId="6A7AE1D9">
            <w:pPr>
              <w:spacing w:line="640" w:lineRule="exact"/>
              <w:jc w:val="center"/>
              <w:rPr>
                <w:rFonts w:hint="eastAsia" w:ascii="宋体" w:hAnsi="宋体" w:cs="宋体"/>
                <w:color w:val="2B2B2B"/>
                <w:kern w:val="0"/>
                <w:szCs w:val="21"/>
              </w:rPr>
            </w:pPr>
          </w:p>
        </w:tc>
        <w:tc>
          <w:tcPr>
            <w:tcW w:w="1342" w:type="dxa"/>
            <w:noWrap w:val="0"/>
            <w:vAlign w:val="top"/>
          </w:tcPr>
          <w:p w14:paraId="4D80DA5E">
            <w:pPr>
              <w:spacing w:line="640" w:lineRule="exact"/>
              <w:jc w:val="center"/>
              <w:rPr>
                <w:rFonts w:hint="eastAsia" w:ascii="宋体" w:hAnsi="宋体" w:cs="宋体"/>
                <w:color w:val="2B2B2B"/>
                <w:kern w:val="0"/>
                <w:szCs w:val="21"/>
              </w:rPr>
            </w:pPr>
          </w:p>
        </w:tc>
      </w:tr>
      <w:tr w14:paraId="15811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1010615D">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6</w:t>
            </w:r>
          </w:p>
        </w:tc>
        <w:tc>
          <w:tcPr>
            <w:tcW w:w="8820" w:type="dxa"/>
            <w:noWrap w:val="0"/>
            <w:vAlign w:val="top"/>
          </w:tcPr>
          <w:p w14:paraId="56F8DC06">
            <w:pPr>
              <w:spacing w:line="640" w:lineRule="exact"/>
              <w:rPr>
                <w:rFonts w:hint="eastAsia" w:ascii="宋体" w:hAnsi="宋体" w:cs="宋体"/>
                <w:color w:val="2B2B2B"/>
                <w:kern w:val="0"/>
                <w:szCs w:val="21"/>
              </w:rPr>
            </w:pPr>
            <w:r>
              <w:rPr>
                <w:rFonts w:hint="eastAsia" w:ascii="宋体" w:hAnsi="宋体" w:cs="宋体"/>
                <w:color w:val="2B2B2B"/>
                <w:kern w:val="0"/>
                <w:szCs w:val="21"/>
              </w:rPr>
              <w:t>自2019年起，将绿色建筑面积比例作为硬性约束指标纳入各级法定城乡规划，并协调国土部门在土地招拍挂出让规划条件中明确绿色建筑的建设用地比例。</w:t>
            </w:r>
          </w:p>
        </w:tc>
        <w:tc>
          <w:tcPr>
            <w:tcW w:w="1800" w:type="dxa"/>
            <w:noWrap w:val="0"/>
            <w:vAlign w:val="center"/>
          </w:tcPr>
          <w:p w14:paraId="619033DA">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市规划局</w:t>
            </w:r>
          </w:p>
        </w:tc>
        <w:tc>
          <w:tcPr>
            <w:tcW w:w="1800" w:type="dxa"/>
            <w:noWrap w:val="0"/>
            <w:vAlign w:val="center"/>
          </w:tcPr>
          <w:p w14:paraId="25A24B28">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市国土资源局</w:t>
            </w:r>
          </w:p>
        </w:tc>
        <w:tc>
          <w:tcPr>
            <w:tcW w:w="1342" w:type="dxa"/>
            <w:noWrap w:val="0"/>
            <w:vAlign w:val="top"/>
          </w:tcPr>
          <w:p w14:paraId="7DCD126D">
            <w:pPr>
              <w:spacing w:line="640" w:lineRule="exact"/>
              <w:jc w:val="center"/>
              <w:rPr>
                <w:rFonts w:hint="eastAsia" w:ascii="宋体" w:hAnsi="宋体" w:cs="宋体"/>
                <w:color w:val="2B2B2B"/>
                <w:kern w:val="0"/>
                <w:szCs w:val="21"/>
              </w:rPr>
            </w:pPr>
          </w:p>
        </w:tc>
      </w:tr>
      <w:tr w14:paraId="1DF0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173A9930">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7</w:t>
            </w:r>
          </w:p>
        </w:tc>
        <w:tc>
          <w:tcPr>
            <w:tcW w:w="8820" w:type="dxa"/>
            <w:noWrap w:val="0"/>
            <w:vAlign w:val="top"/>
          </w:tcPr>
          <w:p w14:paraId="06A9D306">
            <w:pPr>
              <w:spacing w:line="640" w:lineRule="exact"/>
              <w:rPr>
                <w:rFonts w:hint="eastAsia" w:ascii="宋体" w:hAnsi="宋体" w:cs="宋体"/>
                <w:color w:val="2B2B2B"/>
                <w:kern w:val="0"/>
                <w:szCs w:val="21"/>
              </w:rPr>
            </w:pPr>
            <w:r>
              <w:rPr>
                <w:rFonts w:hint="eastAsia" w:ascii="宋体" w:hAnsi="宋体" w:cs="宋体"/>
                <w:color w:val="2B2B2B"/>
                <w:kern w:val="0"/>
                <w:szCs w:val="21"/>
              </w:rPr>
              <w:t>组织进驻、派驻审批服务中心的部门，严格强制执行绿色建筑标准的民用建筑项目审查：在工程立项（备案、承诺、登记）批复文件中注明执行绿色建筑标准等级；对不能满足绿色建筑相关要求的，不予审批通过规划方案、不予核发建设工程规划许可证；严格依据工程立项、规划批准文件进行施工图审查登记、施工许可审批。</w:t>
            </w:r>
          </w:p>
        </w:tc>
        <w:tc>
          <w:tcPr>
            <w:tcW w:w="1800" w:type="dxa"/>
            <w:noWrap w:val="0"/>
            <w:vAlign w:val="center"/>
          </w:tcPr>
          <w:p w14:paraId="6A0DDBE7">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市行政审批局</w:t>
            </w:r>
          </w:p>
        </w:tc>
        <w:tc>
          <w:tcPr>
            <w:tcW w:w="1800" w:type="dxa"/>
            <w:noWrap w:val="0"/>
            <w:vAlign w:val="center"/>
          </w:tcPr>
          <w:p w14:paraId="6CD14D77">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市发改委</w:t>
            </w:r>
          </w:p>
          <w:p w14:paraId="5C03E224">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市规划局</w:t>
            </w:r>
          </w:p>
          <w:p w14:paraId="2A9B69B5">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市城乡建设局</w:t>
            </w:r>
          </w:p>
        </w:tc>
        <w:tc>
          <w:tcPr>
            <w:tcW w:w="1342" w:type="dxa"/>
            <w:noWrap w:val="0"/>
            <w:vAlign w:val="top"/>
          </w:tcPr>
          <w:p w14:paraId="69C7C469">
            <w:pPr>
              <w:spacing w:line="640" w:lineRule="exact"/>
              <w:jc w:val="center"/>
              <w:rPr>
                <w:rFonts w:hint="eastAsia" w:ascii="宋体" w:hAnsi="宋体" w:cs="宋体"/>
                <w:color w:val="2B2B2B"/>
                <w:kern w:val="0"/>
                <w:szCs w:val="21"/>
              </w:rPr>
            </w:pPr>
          </w:p>
        </w:tc>
      </w:tr>
      <w:tr w14:paraId="264A6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6B94D6E8">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8</w:t>
            </w:r>
          </w:p>
        </w:tc>
        <w:tc>
          <w:tcPr>
            <w:tcW w:w="8820" w:type="dxa"/>
            <w:noWrap w:val="0"/>
            <w:vAlign w:val="top"/>
          </w:tcPr>
          <w:p w14:paraId="5AD355C2">
            <w:pPr>
              <w:spacing w:line="640" w:lineRule="exact"/>
              <w:rPr>
                <w:rFonts w:hint="eastAsia" w:ascii="宋体" w:hAnsi="宋体" w:cs="宋体"/>
                <w:color w:val="2B2B2B"/>
                <w:kern w:val="0"/>
                <w:szCs w:val="21"/>
              </w:rPr>
            </w:pPr>
            <w:r>
              <w:rPr>
                <w:rFonts w:hint="eastAsia" w:ascii="宋体" w:hAnsi="宋体" w:cs="宋体"/>
                <w:color w:val="2B2B2B"/>
                <w:kern w:val="0"/>
                <w:szCs w:val="21"/>
              </w:rPr>
              <w:t>按照绿色建筑有关规范、标准审核规划方案、核发建设项目“一书两证”，并在建设工程设计条件中明确建设项目的绿色建筑相关要求，不满足绿色建筑相关要求的，不予审批通过规划方案，建设项目不予核发建设工程规划许可证。</w:t>
            </w:r>
          </w:p>
        </w:tc>
        <w:tc>
          <w:tcPr>
            <w:tcW w:w="1800" w:type="dxa"/>
            <w:noWrap w:val="0"/>
            <w:vAlign w:val="center"/>
          </w:tcPr>
          <w:p w14:paraId="46A2F95C">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市规划局</w:t>
            </w:r>
          </w:p>
        </w:tc>
        <w:tc>
          <w:tcPr>
            <w:tcW w:w="1800" w:type="dxa"/>
            <w:noWrap w:val="0"/>
            <w:vAlign w:val="center"/>
          </w:tcPr>
          <w:p w14:paraId="65B24B74">
            <w:pPr>
              <w:spacing w:line="640" w:lineRule="exact"/>
              <w:jc w:val="center"/>
              <w:rPr>
                <w:rFonts w:hint="eastAsia" w:ascii="宋体" w:hAnsi="宋体" w:cs="宋体"/>
                <w:color w:val="2B2B2B"/>
                <w:kern w:val="0"/>
                <w:szCs w:val="21"/>
              </w:rPr>
            </w:pPr>
          </w:p>
        </w:tc>
        <w:tc>
          <w:tcPr>
            <w:tcW w:w="1342" w:type="dxa"/>
            <w:noWrap w:val="0"/>
            <w:vAlign w:val="top"/>
          </w:tcPr>
          <w:p w14:paraId="00EDE148">
            <w:pPr>
              <w:spacing w:line="640" w:lineRule="exact"/>
              <w:jc w:val="center"/>
              <w:rPr>
                <w:rFonts w:hint="eastAsia" w:ascii="宋体" w:hAnsi="宋体" w:cs="宋体"/>
                <w:color w:val="2B2B2B"/>
                <w:kern w:val="0"/>
                <w:szCs w:val="21"/>
              </w:rPr>
            </w:pPr>
          </w:p>
        </w:tc>
      </w:tr>
      <w:tr w14:paraId="06939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3F059F10">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9</w:t>
            </w:r>
          </w:p>
        </w:tc>
        <w:tc>
          <w:tcPr>
            <w:tcW w:w="8820" w:type="dxa"/>
            <w:noWrap w:val="0"/>
            <w:vAlign w:val="center"/>
          </w:tcPr>
          <w:p w14:paraId="1B6D60D9">
            <w:pPr>
              <w:spacing w:line="640" w:lineRule="exact"/>
              <w:rPr>
                <w:rFonts w:hint="eastAsia" w:ascii="宋体" w:hAnsi="宋体"/>
                <w:b/>
                <w:sz w:val="32"/>
                <w:szCs w:val="32"/>
              </w:rPr>
            </w:pPr>
            <w:r>
              <w:rPr>
                <w:rFonts w:hint="eastAsia" w:ascii="宋体" w:hAnsi="宋体" w:cs="宋体"/>
                <w:color w:val="2B2B2B"/>
                <w:kern w:val="0"/>
                <w:szCs w:val="21"/>
              </w:rPr>
              <w:t>加强土地出让监管，在建设用地出让、划拨过程中严格落实规划条件。</w:t>
            </w:r>
          </w:p>
        </w:tc>
        <w:tc>
          <w:tcPr>
            <w:tcW w:w="1800" w:type="dxa"/>
            <w:noWrap w:val="0"/>
            <w:vAlign w:val="center"/>
          </w:tcPr>
          <w:p w14:paraId="524F56C5">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市国土资源局</w:t>
            </w:r>
          </w:p>
        </w:tc>
        <w:tc>
          <w:tcPr>
            <w:tcW w:w="1800" w:type="dxa"/>
            <w:noWrap w:val="0"/>
            <w:vAlign w:val="center"/>
          </w:tcPr>
          <w:p w14:paraId="6AFDB604">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市规划局</w:t>
            </w:r>
          </w:p>
        </w:tc>
        <w:tc>
          <w:tcPr>
            <w:tcW w:w="1342" w:type="dxa"/>
            <w:noWrap w:val="0"/>
            <w:vAlign w:val="top"/>
          </w:tcPr>
          <w:p w14:paraId="4FDDD613">
            <w:pPr>
              <w:spacing w:line="640" w:lineRule="exact"/>
              <w:jc w:val="center"/>
              <w:rPr>
                <w:rFonts w:hint="eastAsia" w:ascii="宋体" w:hAnsi="宋体" w:cs="宋体"/>
                <w:color w:val="2B2B2B"/>
                <w:kern w:val="0"/>
                <w:szCs w:val="21"/>
              </w:rPr>
            </w:pPr>
          </w:p>
        </w:tc>
      </w:tr>
      <w:tr w14:paraId="1933D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48" w:type="dxa"/>
            <w:noWrap w:val="0"/>
            <w:vAlign w:val="center"/>
          </w:tcPr>
          <w:p w14:paraId="3EB67380">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10</w:t>
            </w:r>
          </w:p>
        </w:tc>
        <w:tc>
          <w:tcPr>
            <w:tcW w:w="8820" w:type="dxa"/>
            <w:noWrap w:val="0"/>
            <w:vAlign w:val="top"/>
          </w:tcPr>
          <w:p w14:paraId="2AD6A147">
            <w:pPr>
              <w:spacing w:line="640" w:lineRule="exact"/>
              <w:rPr>
                <w:rFonts w:hint="eastAsia" w:ascii="宋体" w:hAnsi="宋体" w:cs="宋体"/>
                <w:color w:val="2B2B2B"/>
                <w:kern w:val="0"/>
                <w:szCs w:val="21"/>
              </w:rPr>
            </w:pPr>
            <w:r>
              <w:rPr>
                <w:rFonts w:hint="eastAsia"/>
              </w:rPr>
              <w:t>监督施工图审查机构，对未达到相关设计标准的强制执行绿色建筑标准建设项目，不予发放施工图审查合格书。</w:t>
            </w:r>
          </w:p>
        </w:tc>
        <w:tc>
          <w:tcPr>
            <w:tcW w:w="1800" w:type="dxa"/>
            <w:noWrap w:val="0"/>
            <w:vAlign w:val="center"/>
          </w:tcPr>
          <w:p w14:paraId="2F083BAB">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市城乡建设局</w:t>
            </w:r>
          </w:p>
        </w:tc>
        <w:tc>
          <w:tcPr>
            <w:tcW w:w="1800" w:type="dxa"/>
            <w:noWrap w:val="0"/>
            <w:vAlign w:val="center"/>
          </w:tcPr>
          <w:p w14:paraId="038E3B39">
            <w:pPr>
              <w:spacing w:line="640" w:lineRule="exact"/>
              <w:jc w:val="center"/>
              <w:rPr>
                <w:rFonts w:hint="eastAsia" w:ascii="宋体" w:hAnsi="宋体" w:cs="宋体"/>
                <w:color w:val="2B2B2B"/>
                <w:kern w:val="0"/>
                <w:szCs w:val="21"/>
              </w:rPr>
            </w:pPr>
          </w:p>
        </w:tc>
        <w:tc>
          <w:tcPr>
            <w:tcW w:w="1342" w:type="dxa"/>
            <w:noWrap w:val="0"/>
            <w:vAlign w:val="top"/>
          </w:tcPr>
          <w:p w14:paraId="53F6E64D">
            <w:pPr>
              <w:spacing w:line="640" w:lineRule="exact"/>
              <w:jc w:val="center"/>
              <w:rPr>
                <w:rFonts w:hint="eastAsia" w:ascii="宋体" w:hAnsi="宋体" w:cs="宋体"/>
                <w:color w:val="2B2B2B"/>
                <w:kern w:val="0"/>
                <w:szCs w:val="21"/>
              </w:rPr>
            </w:pPr>
          </w:p>
        </w:tc>
      </w:tr>
      <w:tr w14:paraId="35A18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A21C7A0">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11</w:t>
            </w:r>
          </w:p>
        </w:tc>
        <w:tc>
          <w:tcPr>
            <w:tcW w:w="8820" w:type="dxa"/>
            <w:noWrap w:val="0"/>
            <w:vAlign w:val="top"/>
          </w:tcPr>
          <w:p w14:paraId="45AC91DD">
            <w:pPr>
              <w:spacing w:line="640" w:lineRule="exact"/>
              <w:rPr>
                <w:rFonts w:hint="eastAsia"/>
              </w:rPr>
            </w:pPr>
            <w:r>
              <w:rPr>
                <w:rFonts w:hint="eastAsia"/>
              </w:rPr>
              <w:t>对强制执行绿色建筑标准的建设项目，组织建设单位在设计、施工、监理等招标时将相关要求列入招标文件，并在项目建设协议、合同中明确。</w:t>
            </w:r>
          </w:p>
        </w:tc>
        <w:tc>
          <w:tcPr>
            <w:tcW w:w="1800" w:type="dxa"/>
            <w:noWrap w:val="0"/>
            <w:vAlign w:val="center"/>
          </w:tcPr>
          <w:p w14:paraId="380C760B">
            <w:pPr>
              <w:spacing w:line="640" w:lineRule="exact"/>
              <w:jc w:val="center"/>
              <w:rPr>
                <w:rFonts w:hint="eastAsia" w:ascii="宋体" w:hAnsi="宋体"/>
                <w:b/>
                <w:sz w:val="32"/>
                <w:szCs w:val="32"/>
              </w:rPr>
            </w:pPr>
            <w:r>
              <w:rPr>
                <w:rFonts w:hint="eastAsia"/>
              </w:rPr>
              <w:t>市城乡建设局</w:t>
            </w:r>
          </w:p>
        </w:tc>
        <w:tc>
          <w:tcPr>
            <w:tcW w:w="1800" w:type="dxa"/>
            <w:noWrap w:val="0"/>
            <w:vAlign w:val="center"/>
          </w:tcPr>
          <w:p w14:paraId="47A928A4">
            <w:pPr>
              <w:spacing w:line="640" w:lineRule="exact"/>
              <w:jc w:val="center"/>
              <w:rPr>
                <w:rFonts w:hint="eastAsia" w:ascii="宋体" w:hAnsi="宋体" w:cs="宋体"/>
                <w:color w:val="2B2B2B"/>
                <w:kern w:val="0"/>
                <w:szCs w:val="21"/>
              </w:rPr>
            </w:pPr>
          </w:p>
        </w:tc>
        <w:tc>
          <w:tcPr>
            <w:tcW w:w="1342" w:type="dxa"/>
            <w:noWrap w:val="0"/>
            <w:vAlign w:val="top"/>
          </w:tcPr>
          <w:p w14:paraId="61E6F6EC">
            <w:pPr>
              <w:spacing w:line="640" w:lineRule="exact"/>
              <w:jc w:val="center"/>
              <w:rPr>
                <w:rFonts w:hint="eastAsia" w:ascii="宋体" w:hAnsi="宋体" w:cs="宋体"/>
                <w:color w:val="2B2B2B"/>
                <w:kern w:val="0"/>
                <w:szCs w:val="21"/>
              </w:rPr>
            </w:pPr>
          </w:p>
        </w:tc>
      </w:tr>
      <w:tr w14:paraId="7212A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AAB2224">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12</w:t>
            </w:r>
          </w:p>
        </w:tc>
        <w:tc>
          <w:tcPr>
            <w:tcW w:w="8820" w:type="dxa"/>
            <w:noWrap w:val="0"/>
            <w:vAlign w:val="top"/>
          </w:tcPr>
          <w:p w14:paraId="1D83E442">
            <w:pPr>
              <w:spacing w:line="640" w:lineRule="exact"/>
              <w:rPr>
                <w:rFonts w:hint="eastAsia"/>
              </w:rPr>
            </w:pPr>
            <w:r>
              <w:rPr>
                <w:rFonts w:hint="eastAsia"/>
              </w:rPr>
              <w:t>监督工程设计单位对应当执行绿色建筑的建设项目，认真执行民用建筑绿色设计规范，编制绿色建筑专篇，包括建筑节能、节水、节地、节材和环境保护等具体措施和方法，并保证绿色建筑相关措施得到落实。</w:t>
            </w:r>
          </w:p>
        </w:tc>
        <w:tc>
          <w:tcPr>
            <w:tcW w:w="1800" w:type="dxa"/>
            <w:noWrap w:val="0"/>
            <w:vAlign w:val="center"/>
          </w:tcPr>
          <w:p w14:paraId="784A5EE0">
            <w:pPr>
              <w:spacing w:line="640" w:lineRule="exact"/>
              <w:jc w:val="center"/>
              <w:rPr>
                <w:rFonts w:hint="eastAsia" w:ascii="宋体" w:hAnsi="宋体"/>
                <w:b/>
                <w:sz w:val="32"/>
                <w:szCs w:val="32"/>
              </w:rPr>
            </w:pPr>
            <w:r>
              <w:rPr>
                <w:rFonts w:hint="eastAsia"/>
              </w:rPr>
              <w:t>市城乡建设局</w:t>
            </w:r>
          </w:p>
        </w:tc>
        <w:tc>
          <w:tcPr>
            <w:tcW w:w="1800" w:type="dxa"/>
            <w:noWrap w:val="0"/>
            <w:vAlign w:val="center"/>
          </w:tcPr>
          <w:p w14:paraId="4E33C2F3">
            <w:pPr>
              <w:spacing w:line="640" w:lineRule="exact"/>
              <w:jc w:val="center"/>
              <w:rPr>
                <w:rFonts w:hint="eastAsia" w:ascii="宋体" w:hAnsi="宋体" w:cs="宋体"/>
                <w:color w:val="2B2B2B"/>
                <w:kern w:val="0"/>
                <w:szCs w:val="21"/>
              </w:rPr>
            </w:pPr>
          </w:p>
        </w:tc>
        <w:tc>
          <w:tcPr>
            <w:tcW w:w="1342" w:type="dxa"/>
            <w:noWrap w:val="0"/>
            <w:vAlign w:val="top"/>
          </w:tcPr>
          <w:p w14:paraId="01BADA11">
            <w:pPr>
              <w:spacing w:line="640" w:lineRule="exact"/>
              <w:jc w:val="center"/>
              <w:rPr>
                <w:rFonts w:hint="eastAsia" w:ascii="宋体" w:hAnsi="宋体" w:cs="宋体"/>
                <w:color w:val="2B2B2B"/>
                <w:kern w:val="0"/>
                <w:szCs w:val="21"/>
              </w:rPr>
            </w:pPr>
          </w:p>
        </w:tc>
      </w:tr>
      <w:tr w14:paraId="62C7B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0322B6F">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13</w:t>
            </w:r>
          </w:p>
        </w:tc>
        <w:tc>
          <w:tcPr>
            <w:tcW w:w="8820" w:type="dxa"/>
            <w:noWrap w:val="0"/>
            <w:vAlign w:val="top"/>
          </w:tcPr>
          <w:p w14:paraId="77C3799C">
            <w:pPr>
              <w:spacing w:line="640" w:lineRule="exact"/>
              <w:rPr>
                <w:rFonts w:hint="eastAsia"/>
              </w:rPr>
            </w:pPr>
            <w:r>
              <w:rPr>
                <w:rFonts w:hint="eastAsia"/>
              </w:rPr>
              <w:t>监督施工图审查机构对执行绿色建筑标准的建设工程进行专项审查，并在审查合格书中注明绿色建筑标准等级。施工图审查结果及时上报市绿色建筑推广领导小组办公室。</w:t>
            </w:r>
          </w:p>
        </w:tc>
        <w:tc>
          <w:tcPr>
            <w:tcW w:w="1800" w:type="dxa"/>
            <w:noWrap w:val="0"/>
            <w:vAlign w:val="center"/>
          </w:tcPr>
          <w:p w14:paraId="75D28037">
            <w:pPr>
              <w:spacing w:line="640" w:lineRule="exact"/>
              <w:jc w:val="center"/>
              <w:rPr>
                <w:rFonts w:hint="eastAsia" w:ascii="宋体" w:hAnsi="宋体"/>
                <w:b/>
                <w:sz w:val="32"/>
                <w:szCs w:val="32"/>
              </w:rPr>
            </w:pPr>
            <w:r>
              <w:rPr>
                <w:rFonts w:hint="eastAsia"/>
              </w:rPr>
              <w:t>市城乡建设局</w:t>
            </w:r>
          </w:p>
        </w:tc>
        <w:tc>
          <w:tcPr>
            <w:tcW w:w="1800" w:type="dxa"/>
            <w:noWrap w:val="0"/>
            <w:vAlign w:val="center"/>
          </w:tcPr>
          <w:p w14:paraId="779FE165">
            <w:pPr>
              <w:spacing w:line="640" w:lineRule="exact"/>
              <w:jc w:val="center"/>
              <w:rPr>
                <w:rFonts w:hint="eastAsia" w:ascii="宋体" w:hAnsi="宋体" w:cs="宋体"/>
                <w:color w:val="2B2B2B"/>
                <w:kern w:val="0"/>
                <w:szCs w:val="21"/>
              </w:rPr>
            </w:pPr>
          </w:p>
        </w:tc>
        <w:tc>
          <w:tcPr>
            <w:tcW w:w="1342" w:type="dxa"/>
            <w:noWrap w:val="0"/>
            <w:vAlign w:val="top"/>
          </w:tcPr>
          <w:p w14:paraId="0B50E4AB">
            <w:pPr>
              <w:spacing w:line="640" w:lineRule="exact"/>
              <w:jc w:val="center"/>
              <w:rPr>
                <w:rFonts w:hint="eastAsia" w:ascii="宋体" w:hAnsi="宋体" w:cs="宋体"/>
                <w:color w:val="2B2B2B"/>
                <w:kern w:val="0"/>
                <w:szCs w:val="21"/>
              </w:rPr>
            </w:pPr>
          </w:p>
        </w:tc>
      </w:tr>
      <w:tr w14:paraId="203C9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8" w:type="dxa"/>
            <w:noWrap w:val="0"/>
            <w:vAlign w:val="center"/>
          </w:tcPr>
          <w:p w14:paraId="6C55C705">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14</w:t>
            </w:r>
          </w:p>
        </w:tc>
        <w:tc>
          <w:tcPr>
            <w:tcW w:w="8820" w:type="dxa"/>
            <w:noWrap w:val="0"/>
            <w:vAlign w:val="center"/>
          </w:tcPr>
          <w:p w14:paraId="5DF22538">
            <w:pPr>
              <w:spacing w:line="640" w:lineRule="exact"/>
              <w:rPr>
                <w:rFonts w:hint="eastAsia"/>
              </w:rPr>
            </w:pPr>
            <w:r>
              <w:rPr>
                <w:rFonts w:hint="eastAsia"/>
              </w:rPr>
              <w:t>在施工、房屋销售现场明示绿色建筑性能指标。</w:t>
            </w:r>
          </w:p>
        </w:tc>
        <w:tc>
          <w:tcPr>
            <w:tcW w:w="1800" w:type="dxa"/>
            <w:noWrap w:val="0"/>
            <w:vAlign w:val="center"/>
          </w:tcPr>
          <w:p w14:paraId="754457E1">
            <w:pPr>
              <w:spacing w:line="640" w:lineRule="exact"/>
              <w:jc w:val="center"/>
              <w:rPr>
                <w:rFonts w:hint="eastAsia"/>
              </w:rPr>
            </w:pPr>
            <w:r>
              <w:rPr>
                <w:rFonts w:hint="eastAsia"/>
              </w:rPr>
              <w:t>市城乡建设局</w:t>
            </w:r>
          </w:p>
          <w:p w14:paraId="0D99EC8B">
            <w:pPr>
              <w:spacing w:line="640" w:lineRule="exact"/>
              <w:jc w:val="center"/>
              <w:rPr>
                <w:rFonts w:hint="eastAsia"/>
              </w:rPr>
            </w:pPr>
            <w:r>
              <w:rPr>
                <w:rFonts w:hint="eastAsia"/>
              </w:rPr>
              <w:t>市房产局</w:t>
            </w:r>
          </w:p>
        </w:tc>
        <w:tc>
          <w:tcPr>
            <w:tcW w:w="1800" w:type="dxa"/>
            <w:noWrap w:val="0"/>
            <w:vAlign w:val="center"/>
          </w:tcPr>
          <w:p w14:paraId="09ABA874">
            <w:pPr>
              <w:spacing w:line="640" w:lineRule="exact"/>
              <w:jc w:val="center"/>
              <w:rPr>
                <w:rFonts w:hint="eastAsia" w:ascii="宋体" w:hAnsi="宋体" w:cs="宋体"/>
                <w:color w:val="2B2B2B"/>
                <w:kern w:val="0"/>
                <w:szCs w:val="21"/>
              </w:rPr>
            </w:pPr>
          </w:p>
        </w:tc>
        <w:tc>
          <w:tcPr>
            <w:tcW w:w="1342" w:type="dxa"/>
            <w:noWrap w:val="0"/>
            <w:vAlign w:val="top"/>
          </w:tcPr>
          <w:p w14:paraId="4BA7A57D">
            <w:pPr>
              <w:spacing w:line="640" w:lineRule="exact"/>
              <w:jc w:val="center"/>
              <w:rPr>
                <w:rFonts w:hint="eastAsia" w:ascii="宋体" w:hAnsi="宋体" w:cs="宋体"/>
                <w:color w:val="2B2B2B"/>
                <w:kern w:val="0"/>
                <w:szCs w:val="21"/>
              </w:rPr>
            </w:pPr>
          </w:p>
        </w:tc>
      </w:tr>
      <w:tr w14:paraId="121E9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8" w:type="dxa"/>
            <w:noWrap w:val="0"/>
            <w:vAlign w:val="center"/>
          </w:tcPr>
          <w:p w14:paraId="7DCAC17E">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15</w:t>
            </w:r>
          </w:p>
        </w:tc>
        <w:tc>
          <w:tcPr>
            <w:tcW w:w="8820" w:type="dxa"/>
            <w:noWrap w:val="0"/>
            <w:vAlign w:val="top"/>
          </w:tcPr>
          <w:p w14:paraId="7A2773D1">
            <w:pPr>
              <w:spacing w:line="640" w:lineRule="exact"/>
              <w:rPr>
                <w:rFonts w:hint="eastAsia"/>
              </w:rPr>
            </w:pPr>
            <w:r>
              <w:rPr>
                <w:rFonts w:hint="eastAsia"/>
              </w:rPr>
              <w:t>监督执行绿色建筑标准建筑项目的建设、施工、监理等责任主体，按照相关规范标准制定并认真执行绿色建筑专项施工方案、施工要点和专项监理实施细则，按照绿色建筑标准使用建筑材料、构配件和设备，</w:t>
            </w:r>
            <w:r>
              <w:rPr>
                <w:rFonts w:hint="eastAsia" w:ascii="宋体" w:hAnsi="宋体" w:cs="宋体"/>
                <w:color w:val="2B2B2B"/>
                <w:kern w:val="0"/>
                <w:szCs w:val="21"/>
              </w:rPr>
              <w:t>确保按图施工</w:t>
            </w:r>
            <w:r>
              <w:rPr>
                <w:rFonts w:hint="eastAsia"/>
              </w:rPr>
              <w:t>。</w:t>
            </w:r>
          </w:p>
        </w:tc>
        <w:tc>
          <w:tcPr>
            <w:tcW w:w="1800" w:type="dxa"/>
            <w:noWrap w:val="0"/>
            <w:vAlign w:val="center"/>
          </w:tcPr>
          <w:p w14:paraId="7495E4BB">
            <w:pPr>
              <w:spacing w:line="640" w:lineRule="exact"/>
              <w:jc w:val="center"/>
              <w:rPr>
                <w:rFonts w:hint="eastAsia"/>
              </w:rPr>
            </w:pPr>
            <w:r>
              <w:rPr>
                <w:rFonts w:hint="eastAsia"/>
              </w:rPr>
              <w:t>市城乡建设局</w:t>
            </w:r>
          </w:p>
        </w:tc>
        <w:tc>
          <w:tcPr>
            <w:tcW w:w="1800" w:type="dxa"/>
            <w:noWrap w:val="0"/>
            <w:vAlign w:val="center"/>
          </w:tcPr>
          <w:p w14:paraId="33C5D5F1">
            <w:pPr>
              <w:spacing w:line="640" w:lineRule="exact"/>
              <w:jc w:val="center"/>
              <w:rPr>
                <w:rFonts w:hint="eastAsia" w:ascii="宋体" w:hAnsi="宋体" w:cs="宋体"/>
                <w:color w:val="2B2B2B"/>
                <w:kern w:val="0"/>
                <w:szCs w:val="21"/>
              </w:rPr>
            </w:pPr>
          </w:p>
        </w:tc>
        <w:tc>
          <w:tcPr>
            <w:tcW w:w="1342" w:type="dxa"/>
            <w:noWrap w:val="0"/>
            <w:vAlign w:val="top"/>
          </w:tcPr>
          <w:p w14:paraId="32000EEC">
            <w:pPr>
              <w:spacing w:line="640" w:lineRule="exact"/>
              <w:jc w:val="center"/>
              <w:rPr>
                <w:rFonts w:hint="eastAsia" w:ascii="宋体" w:hAnsi="宋体" w:cs="宋体"/>
                <w:color w:val="2B2B2B"/>
                <w:kern w:val="0"/>
                <w:szCs w:val="21"/>
              </w:rPr>
            </w:pPr>
          </w:p>
        </w:tc>
      </w:tr>
      <w:tr w14:paraId="11DAB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48" w:type="dxa"/>
            <w:noWrap w:val="0"/>
            <w:vAlign w:val="center"/>
          </w:tcPr>
          <w:p w14:paraId="509087C5">
            <w:pPr>
              <w:widowControl/>
              <w:spacing w:line="640" w:lineRule="exact"/>
              <w:jc w:val="center"/>
              <w:rPr>
                <w:rFonts w:hint="eastAsia"/>
              </w:rPr>
            </w:pPr>
            <w:r>
              <w:rPr>
                <w:rFonts w:hint="eastAsia"/>
              </w:rPr>
              <w:t>16</w:t>
            </w:r>
          </w:p>
        </w:tc>
        <w:tc>
          <w:tcPr>
            <w:tcW w:w="8820" w:type="dxa"/>
            <w:noWrap w:val="0"/>
            <w:vAlign w:val="center"/>
          </w:tcPr>
          <w:p w14:paraId="4C3ACFA0">
            <w:pPr>
              <w:spacing w:line="640" w:lineRule="exact"/>
              <w:rPr>
                <w:rFonts w:hint="eastAsia"/>
              </w:rPr>
            </w:pPr>
            <w:r>
              <w:rPr>
                <w:rFonts w:hint="eastAsia"/>
              </w:rPr>
              <w:t>对应当执行绿色建筑标准的建筑项目未按绿色建筑设计和施工的，不予通过竣工验收。</w:t>
            </w:r>
          </w:p>
        </w:tc>
        <w:tc>
          <w:tcPr>
            <w:tcW w:w="1800" w:type="dxa"/>
            <w:noWrap w:val="0"/>
            <w:vAlign w:val="center"/>
          </w:tcPr>
          <w:p w14:paraId="41FC23BE">
            <w:pPr>
              <w:spacing w:line="640" w:lineRule="exact"/>
              <w:jc w:val="center"/>
              <w:rPr>
                <w:rFonts w:hint="eastAsia"/>
              </w:rPr>
            </w:pPr>
            <w:r>
              <w:rPr>
                <w:rFonts w:hint="eastAsia"/>
              </w:rPr>
              <w:t>市城乡建设局</w:t>
            </w:r>
          </w:p>
        </w:tc>
        <w:tc>
          <w:tcPr>
            <w:tcW w:w="1800" w:type="dxa"/>
            <w:noWrap w:val="0"/>
            <w:vAlign w:val="center"/>
          </w:tcPr>
          <w:p w14:paraId="3FFA89B0">
            <w:pPr>
              <w:spacing w:line="640" w:lineRule="exact"/>
              <w:jc w:val="center"/>
              <w:rPr>
                <w:rFonts w:hint="eastAsia"/>
              </w:rPr>
            </w:pPr>
            <w:r>
              <w:rPr>
                <w:rFonts w:hint="eastAsia"/>
              </w:rPr>
              <w:t>市行政审批局</w:t>
            </w:r>
          </w:p>
        </w:tc>
        <w:tc>
          <w:tcPr>
            <w:tcW w:w="1342" w:type="dxa"/>
            <w:noWrap w:val="0"/>
            <w:vAlign w:val="top"/>
          </w:tcPr>
          <w:p w14:paraId="4463B979">
            <w:pPr>
              <w:spacing w:line="640" w:lineRule="exact"/>
              <w:jc w:val="center"/>
              <w:rPr>
                <w:rFonts w:hint="eastAsia"/>
              </w:rPr>
            </w:pPr>
          </w:p>
        </w:tc>
      </w:tr>
      <w:tr w14:paraId="1D936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48" w:type="dxa"/>
            <w:noWrap w:val="0"/>
            <w:vAlign w:val="center"/>
          </w:tcPr>
          <w:p w14:paraId="4A47A7C8">
            <w:pPr>
              <w:spacing w:line="640" w:lineRule="exact"/>
              <w:jc w:val="center"/>
              <w:rPr>
                <w:rFonts w:hint="eastAsia"/>
              </w:rPr>
            </w:pPr>
            <w:r>
              <w:rPr>
                <w:rFonts w:hint="eastAsia"/>
              </w:rPr>
              <w:t>17</w:t>
            </w:r>
          </w:p>
        </w:tc>
        <w:tc>
          <w:tcPr>
            <w:tcW w:w="8820" w:type="dxa"/>
            <w:noWrap w:val="0"/>
            <w:vAlign w:val="center"/>
          </w:tcPr>
          <w:p w14:paraId="66AC9888">
            <w:pPr>
              <w:spacing w:line="640" w:lineRule="exact"/>
              <w:rPr>
                <w:rFonts w:hint="eastAsia"/>
              </w:rPr>
            </w:pPr>
            <w:r>
              <w:rPr>
                <w:rFonts w:hint="eastAsia"/>
              </w:rPr>
              <w:t>将绿色建筑推广任务分解到所属县（市）和开发区并开展检查，逐年提高城镇绿色建筑比例。</w:t>
            </w:r>
          </w:p>
        </w:tc>
        <w:tc>
          <w:tcPr>
            <w:tcW w:w="1800" w:type="dxa"/>
            <w:noWrap w:val="0"/>
            <w:vAlign w:val="center"/>
          </w:tcPr>
          <w:p w14:paraId="63F0289F">
            <w:pPr>
              <w:spacing w:line="640" w:lineRule="exact"/>
              <w:jc w:val="center"/>
              <w:rPr>
                <w:rFonts w:hint="eastAsia"/>
              </w:rPr>
            </w:pPr>
            <w:r>
              <w:rPr>
                <w:rFonts w:hint="eastAsia"/>
              </w:rPr>
              <w:t>市城乡建设局</w:t>
            </w:r>
          </w:p>
        </w:tc>
        <w:tc>
          <w:tcPr>
            <w:tcW w:w="1800" w:type="dxa"/>
            <w:noWrap w:val="0"/>
            <w:vAlign w:val="center"/>
          </w:tcPr>
          <w:p w14:paraId="33636B9C">
            <w:pPr>
              <w:spacing w:line="640" w:lineRule="exact"/>
              <w:jc w:val="center"/>
              <w:rPr>
                <w:rFonts w:hint="eastAsia"/>
              </w:rPr>
            </w:pPr>
            <w:r>
              <w:rPr>
                <w:rFonts w:hint="eastAsia"/>
              </w:rPr>
              <w:t>市发改委</w:t>
            </w:r>
          </w:p>
        </w:tc>
        <w:tc>
          <w:tcPr>
            <w:tcW w:w="1342" w:type="dxa"/>
            <w:noWrap w:val="0"/>
            <w:vAlign w:val="top"/>
          </w:tcPr>
          <w:p w14:paraId="1D3B5223">
            <w:pPr>
              <w:spacing w:line="640" w:lineRule="exact"/>
              <w:jc w:val="center"/>
              <w:rPr>
                <w:rFonts w:hint="eastAsia"/>
              </w:rPr>
            </w:pPr>
          </w:p>
        </w:tc>
      </w:tr>
      <w:tr w14:paraId="131CF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8" w:type="dxa"/>
            <w:noWrap w:val="0"/>
            <w:vAlign w:val="center"/>
          </w:tcPr>
          <w:p w14:paraId="5711469D">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18</w:t>
            </w:r>
          </w:p>
        </w:tc>
        <w:tc>
          <w:tcPr>
            <w:tcW w:w="8820" w:type="dxa"/>
            <w:noWrap w:val="0"/>
            <w:vAlign w:val="center"/>
          </w:tcPr>
          <w:p w14:paraId="0CF85D8E">
            <w:pPr>
              <w:spacing w:line="640" w:lineRule="exact"/>
              <w:rPr>
                <w:rFonts w:hint="eastAsia"/>
              </w:rPr>
            </w:pPr>
            <w:r>
              <w:rPr>
                <w:rFonts w:hint="eastAsia"/>
              </w:rPr>
              <w:t>按照省级建筑节能标准和节能工作部署，执行居住建筑高于65%节能设计标准。</w:t>
            </w:r>
          </w:p>
        </w:tc>
        <w:tc>
          <w:tcPr>
            <w:tcW w:w="1800" w:type="dxa"/>
            <w:noWrap w:val="0"/>
            <w:vAlign w:val="center"/>
          </w:tcPr>
          <w:p w14:paraId="7871F11C">
            <w:pPr>
              <w:spacing w:line="640" w:lineRule="exact"/>
              <w:jc w:val="center"/>
              <w:rPr>
                <w:rFonts w:hint="eastAsia"/>
              </w:rPr>
            </w:pPr>
            <w:r>
              <w:rPr>
                <w:rFonts w:hint="eastAsia"/>
              </w:rPr>
              <w:t>市城乡建设局</w:t>
            </w:r>
          </w:p>
        </w:tc>
        <w:tc>
          <w:tcPr>
            <w:tcW w:w="1800" w:type="dxa"/>
            <w:noWrap w:val="0"/>
            <w:vAlign w:val="center"/>
          </w:tcPr>
          <w:p w14:paraId="3CE93DC9">
            <w:pPr>
              <w:spacing w:line="640" w:lineRule="exact"/>
              <w:rPr>
                <w:rFonts w:hint="eastAsia"/>
              </w:rPr>
            </w:pPr>
          </w:p>
        </w:tc>
        <w:tc>
          <w:tcPr>
            <w:tcW w:w="1342" w:type="dxa"/>
            <w:noWrap w:val="0"/>
            <w:vAlign w:val="top"/>
          </w:tcPr>
          <w:p w14:paraId="5CDE00B6">
            <w:pPr>
              <w:spacing w:line="640" w:lineRule="exact"/>
              <w:rPr>
                <w:rFonts w:hint="eastAsia"/>
              </w:rPr>
            </w:pPr>
          </w:p>
        </w:tc>
      </w:tr>
      <w:tr w14:paraId="3F528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48" w:type="dxa"/>
            <w:noWrap w:val="0"/>
            <w:vAlign w:val="center"/>
          </w:tcPr>
          <w:p w14:paraId="2AEC8CDA">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19</w:t>
            </w:r>
          </w:p>
        </w:tc>
        <w:tc>
          <w:tcPr>
            <w:tcW w:w="8820" w:type="dxa"/>
            <w:noWrap w:val="0"/>
            <w:vAlign w:val="center"/>
          </w:tcPr>
          <w:p w14:paraId="6397445C">
            <w:pPr>
              <w:spacing w:line="640" w:lineRule="exact"/>
              <w:rPr>
                <w:rFonts w:hint="eastAsia"/>
              </w:rPr>
            </w:pPr>
            <w:r>
              <w:rPr>
                <w:rFonts w:hint="eastAsia"/>
              </w:rPr>
              <w:t>适时推进既有居住建筑节能改造和大型公共建筑、办公建筑空调、供暖、通风、照明等用能系统节能改造。</w:t>
            </w:r>
          </w:p>
        </w:tc>
        <w:tc>
          <w:tcPr>
            <w:tcW w:w="1800" w:type="dxa"/>
            <w:noWrap w:val="0"/>
            <w:vAlign w:val="center"/>
          </w:tcPr>
          <w:p w14:paraId="2517EE4F">
            <w:pPr>
              <w:spacing w:line="640" w:lineRule="exact"/>
              <w:jc w:val="center"/>
              <w:rPr>
                <w:rFonts w:hint="eastAsia"/>
              </w:rPr>
            </w:pPr>
            <w:r>
              <w:rPr>
                <w:rFonts w:hint="eastAsia"/>
              </w:rPr>
              <w:t>市城乡建设局</w:t>
            </w:r>
          </w:p>
        </w:tc>
        <w:tc>
          <w:tcPr>
            <w:tcW w:w="1800" w:type="dxa"/>
            <w:noWrap w:val="0"/>
            <w:vAlign w:val="center"/>
          </w:tcPr>
          <w:p w14:paraId="1C8FFE37">
            <w:pPr>
              <w:spacing w:line="640" w:lineRule="exact"/>
              <w:jc w:val="center"/>
              <w:rPr>
                <w:rFonts w:hint="eastAsia"/>
              </w:rPr>
            </w:pPr>
            <w:r>
              <w:rPr>
                <w:rFonts w:hint="eastAsia"/>
              </w:rPr>
              <w:t>市房产局</w:t>
            </w:r>
          </w:p>
        </w:tc>
        <w:tc>
          <w:tcPr>
            <w:tcW w:w="1342" w:type="dxa"/>
            <w:noWrap w:val="0"/>
            <w:vAlign w:val="top"/>
          </w:tcPr>
          <w:p w14:paraId="0CBB7A05">
            <w:pPr>
              <w:spacing w:line="640" w:lineRule="exact"/>
              <w:jc w:val="center"/>
              <w:rPr>
                <w:rFonts w:hint="eastAsia" w:ascii="宋体" w:hAnsi="宋体" w:cs="宋体"/>
                <w:color w:val="2B2B2B"/>
                <w:kern w:val="0"/>
                <w:szCs w:val="21"/>
              </w:rPr>
            </w:pPr>
          </w:p>
        </w:tc>
      </w:tr>
      <w:tr w14:paraId="1BE05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48" w:type="dxa"/>
            <w:noWrap w:val="0"/>
            <w:vAlign w:val="center"/>
          </w:tcPr>
          <w:p w14:paraId="4F68DD13">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20</w:t>
            </w:r>
          </w:p>
        </w:tc>
        <w:tc>
          <w:tcPr>
            <w:tcW w:w="8820" w:type="dxa"/>
            <w:noWrap w:val="0"/>
            <w:vAlign w:val="center"/>
          </w:tcPr>
          <w:p w14:paraId="09CBFAE8">
            <w:pPr>
              <w:spacing w:line="640" w:lineRule="exact"/>
              <w:rPr>
                <w:rFonts w:hint="eastAsia"/>
              </w:rPr>
            </w:pPr>
            <w:r>
              <w:rPr>
                <w:rFonts w:hint="eastAsia"/>
              </w:rPr>
              <w:t>逐步实施燃煤热源超低排放改造，积极探索地热能、生物质能供暖，稳步提高天然气供暖面积，允许电力充足、集中供热管网覆盖范围以外区域的公共建筑采用电供暖。</w:t>
            </w:r>
          </w:p>
        </w:tc>
        <w:tc>
          <w:tcPr>
            <w:tcW w:w="1800" w:type="dxa"/>
            <w:noWrap w:val="0"/>
            <w:vAlign w:val="center"/>
          </w:tcPr>
          <w:p w14:paraId="2168D989">
            <w:pPr>
              <w:spacing w:line="640" w:lineRule="exact"/>
              <w:jc w:val="center"/>
              <w:rPr>
                <w:rFonts w:hint="eastAsia"/>
              </w:rPr>
            </w:pPr>
            <w:r>
              <w:rPr>
                <w:rFonts w:hint="eastAsia"/>
              </w:rPr>
              <w:t>市发改委</w:t>
            </w:r>
          </w:p>
        </w:tc>
        <w:tc>
          <w:tcPr>
            <w:tcW w:w="1800" w:type="dxa"/>
            <w:noWrap w:val="0"/>
            <w:vAlign w:val="center"/>
          </w:tcPr>
          <w:p w14:paraId="51554993">
            <w:pPr>
              <w:spacing w:line="640" w:lineRule="exact"/>
              <w:jc w:val="center"/>
              <w:rPr>
                <w:rFonts w:hint="eastAsia"/>
              </w:rPr>
            </w:pPr>
            <w:r>
              <w:rPr>
                <w:rFonts w:hint="eastAsia"/>
              </w:rPr>
              <w:t>市城乡建设局</w:t>
            </w:r>
          </w:p>
          <w:p w14:paraId="402F211B">
            <w:pPr>
              <w:spacing w:line="640" w:lineRule="exact"/>
              <w:jc w:val="center"/>
              <w:rPr>
                <w:rFonts w:hint="eastAsia"/>
              </w:rPr>
            </w:pPr>
            <w:r>
              <w:rPr>
                <w:rFonts w:hint="eastAsia"/>
              </w:rPr>
              <w:t>市环保局</w:t>
            </w:r>
          </w:p>
        </w:tc>
        <w:tc>
          <w:tcPr>
            <w:tcW w:w="1342" w:type="dxa"/>
            <w:noWrap w:val="0"/>
            <w:vAlign w:val="top"/>
          </w:tcPr>
          <w:p w14:paraId="6FC2A4F3">
            <w:pPr>
              <w:spacing w:line="640" w:lineRule="exact"/>
              <w:jc w:val="center"/>
              <w:rPr>
                <w:rFonts w:hint="eastAsia" w:ascii="宋体" w:hAnsi="宋体" w:cs="宋体"/>
                <w:color w:val="2B2B2B"/>
                <w:kern w:val="0"/>
                <w:szCs w:val="21"/>
              </w:rPr>
            </w:pPr>
          </w:p>
        </w:tc>
      </w:tr>
      <w:tr w14:paraId="7D2AE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48" w:type="dxa"/>
            <w:noWrap w:val="0"/>
            <w:vAlign w:val="center"/>
          </w:tcPr>
          <w:p w14:paraId="7344B365">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21</w:t>
            </w:r>
          </w:p>
        </w:tc>
        <w:tc>
          <w:tcPr>
            <w:tcW w:w="8820" w:type="dxa"/>
            <w:noWrap w:val="0"/>
            <w:vAlign w:val="center"/>
          </w:tcPr>
          <w:p w14:paraId="35E0BE82">
            <w:pPr>
              <w:spacing w:line="640" w:lineRule="exact"/>
              <w:rPr>
                <w:rFonts w:hint="eastAsia"/>
              </w:rPr>
            </w:pPr>
            <w:r>
              <w:rPr>
                <w:rFonts w:hint="eastAsia"/>
              </w:rPr>
              <w:t>推进老旧供热管网、配套设施节能改造，完善热源联网运行机制。引导供热企业加快供热系统智能化改造，推广热源优化、热网自动控制、管网水力平衡和无人值守热力站等节能技术措施，实现供热全系统的运行调节、控制和管理。</w:t>
            </w:r>
          </w:p>
        </w:tc>
        <w:tc>
          <w:tcPr>
            <w:tcW w:w="1800" w:type="dxa"/>
            <w:noWrap w:val="0"/>
            <w:vAlign w:val="center"/>
          </w:tcPr>
          <w:p w14:paraId="1719A929">
            <w:pPr>
              <w:spacing w:line="640" w:lineRule="exact"/>
              <w:jc w:val="center"/>
              <w:rPr>
                <w:rFonts w:hint="eastAsia"/>
              </w:rPr>
            </w:pPr>
            <w:r>
              <w:rPr>
                <w:rFonts w:hint="eastAsia"/>
              </w:rPr>
              <w:t>市城乡建设局</w:t>
            </w:r>
          </w:p>
        </w:tc>
        <w:tc>
          <w:tcPr>
            <w:tcW w:w="1800" w:type="dxa"/>
            <w:noWrap w:val="0"/>
            <w:vAlign w:val="center"/>
          </w:tcPr>
          <w:p w14:paraId="761120FC">
            <w:pPr>
              <w:spacing w:line="640" w:lineRule="exact"/>
              <w:jc w:val="center"/>
              <w:rPr>
                <w:rFonts w:hint="eastAsia"/>
              </w:rPr>
            </w:pPr>
            <w:r>
              <w:rPr>
                <w:rFonts w:hint="eastAsia"/>
              </w:rPr>
              <w:t>市工信委</w:t>
            </w:r>
          </w:p>
        </w:tc>
        <w:tc>
          <w:tcPr>
            <w:tcW w:w="1342" w:type="dxa"/>
            <w:noWrap w:val="0"/>
            <w:vAlign w:val="top"/>
          </w:tcPr>
          <w:p w14:paraId="628F6AFE">
            <w:pPr>
              <w:spacing w:line="640" w:lineRule="exact"/>
              <w:jc w:val="center"/>
              <w:rPr>
                <w:rFonts w:hint="eastAsia" w:ascii="宋体" w:hAnsi="宋体" w:cs="宋体"/>
                <w:color w:val="2B2B2B"/>
                <w:kern w:val="0"/>
                <w:szCs w:val="21"/>
              </w:rPr>
            </w:pPr>
          </w:p>
        </w:tc>
      </w:tr>
      <w:tr w14:paraId="6D835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48" w:type="dxa"/>
            <w:noWrap w:val="0"/>
            <w:vAlign w:val="center"/>
          </w:tcPr>
          <w:p w14:paraId="41D831BB">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22</w:t>
            </w:r>
          </w:p>
        </w:tc>
        <w:tc>
          <w:tcPr>
            <w:tcW w:w="8820" w:type="dxa"/>
            <w:noWrap w:val="0"/>
            <w:vAlign w:val="center"/>
          </w:tcPr>
          <w:p w14:paraId="5A6AC557">
            <w:pPr>
              <w:spacing w:line="640" w:lineRule="exact"/>
              <w:rPr>
                <w:rFonts w:hint="eastAsia"/>
              </w:rPr>
            </w:pPr>
            <w:r>
              <w:rPr>
                <w:rFonts w:hint="eastAsia"/>
              </w:rPr>
              <w:t>按照农村住宅节能建设和改造推广图集、村镇节能建筑技术指南等技术规范，实施农村危房改造。推广太阳能热利用、围护墙体保温隔热、省柴节煤灶等技术，推进生物质利用，合理发展沼气技术。</w:t>
            </w:r>
          </w:p>
        </w:tc>
        <w:tc>
          <w:tcPr>
            <w:tcW w:w="1800" w:type="dxa"/>
            <w:noWrap w:val="0"/>
            <w:vAlign w:val="center"/>
          </w:tcPr>
          <w:p w14:paraId="3CE05442">
            <w:pPr>
              <w:spacing w:line="640" w:lineRule="exact"/>
              <w:jc w:val="center"/>
              <w:rPr>
                <w:rFonts w:hint="eastAsia"/>
              </w:rPr>
            </w:pPr>
            <w:r>
              <w:rPr>
                <w:rFonts w:hint="eastAsia"/>
              </w:rPr>
              <w:t>市城乡建设局</w:t>
            </w:r>
          </w:p>
        </w:tc>
        <w:tc>
          <w:tcPr>
            <w:tcW w:w="1800" w:type="dxa"/>
            <w:noWrap w:val="0"/>
            <w:vAlign w:val="center"/>
          </w:tcPr>
          <w:p w14:paraId="7E624CDD">
            <w:pPr>
              <w:spacing w:line="640" w:lineRule="exact"/>
              <w:jc w:val="center"/>
              <w:rPr>
                <w:rFonts w:hint="eastAsia"/>
              </w:rPr>
            </w:pPr>
          </w:p>
        </w:tc>
        <w:tc>
          <w:tcPr>
            <w:tcW w:w="1342" w:type="dxa"/>
            <w:noWrap w:val="0"/>
            <w:vAlign w:val="top"/>
          </w:tcPr>
          <w:p w14:paraId="203BC525">
            <w:pPr>
              <w:spacing w:line="640" w:lineRule="exact"/>
              <w:jc w:val="center"/>
              <w:rPr>
                <w:rFonts w:hint="eastAsia" w:ascii="宋体" w:hAnsi="宋体" w:cs="宋体"/>
                <w:color w:val="2B2B2B"/>
                <w:kern w:val="0"/>
                <w:szCs w:val="21"/>
              </w:rPr>
            </w:pPr>
          </w:p>
        </w:tc>
      </w:tr>
      <w:tr w14:paraId="301BD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noWrap w:val="0"/>
            <w:vAlign w:val="center"/>
          </w:tcPr>
          <w:p w14:paraId="3E9CADAE">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23</w:t>
            </w:r>
          </w:p>
        </w:tc>
        <w:tc>
          <w:tcPr>
            <w:tcW w:w="8820" w:type="dxa"/>
            <w:noWrap w:val="0"/>
            <w:vAlign w:val="center"/>
          </w:tcPr>
          <w:p w14:paraId="357E66BC">
            <w:pPr>
              <w:spacing w:line="640" w:lineRule="exact"/>
              <w:rPr>
                <w:rFonts w:hint="eastAsia"/>
              </w:rPr>
            </w:pPr>
            <w:r>
              <w:rPr>
                <w:rFonts w:hint="eastAsia"/>
              </w:rPr>
              <w:t>加强公共建筑节能管理。按照省的部署，严格执行公共建筑空调温度控制标准,实施大型公共建筑能耗（电耗）限额管理。</w:t>
            </w:r>
          </w:p>
        </w:tc>
        <w:tc>
          <w:tcPr>
            <w:tcW w:w="1800" w:type="dxa"/>
            <w:noWrap w:val="0"/>
            <w:vAlign w:val="center"/>
          </w:tcPr>
          <w:p w14:paraId="43076299">
            <w:pPr>
              <w:spacing w:line="640" w:lineRule="exact"/>
              <w:jc w:val="center"/>
              <w:rPr>
                <w:rFonts w:hint="eastAsia"/>
              </w:rPr>
            </w:pPr>
            <w:r>
              <w:rPr>
                <w:rFonts w:hint="eastAsia"/>
              </w:rPr>
              <w:t>市发改委</w:t>
            </w:r>
          </w:p>
        </w:tc>
        <w:tc>
          <w:tcPr>
            <w:tcW w:w="1800" w:type="dxa"/>
            <w:noWrap w:val="0"/>
            <w:vAlign w:val="center"/>
          </w:tcPr>
          <w:p w14:paraId="7A4393E3">
            <w:pPr>
              <w:spacing w:line="640" w:lineRule="exact"/>
              <w:jc w:val="center"/>
              <w:rPr>
                <w:rFonts w:hint="eastAsia"/>
              </w:rPr>
            </w:pPr>
            <w:r>
              <w:rPr>
                <w:rFonts w:hint="eastAsia"/>
              </w:rPr>
              <w:t>市机关局</w:t>
            </w:r>
          </w:p>
        </w:tc>
        <w:tc>
          <w:tcPr>
            <w:tcW w:w="1342" w:type="dxa"/>
            <w:noWrap w:val="0"/>
            <w:vAlign w:val="top"/>
          </w:tcPr>
          <w:p w14:paraId="6875EF07">
            <w:pPr>
              <w:spacing w:line="640" w:lineRule="exact"/>
              <w:jc w:val="center"/>
              <w:rPr>
                <w:rFonts w:hint="eastAsia" w:ascii="宋体" w:hAnsi="宋体" w:cs="宋体"/>
                <w:color w:val="2B2B2B"/>
                <w:kern w:val="0"/>
                <w:szCs w:val="21"/>
              </w:rPr>
            </w:pPr>
          </w:p>
        </w:tc>
      </w:tr>
      <w:tr w14:paraId="35628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noWrap w:val="0"/>
            <w:vAlign w:val="center"/>
          </w:tcPr>
          <w:p w14:paraId="2288DDF3">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24</w:t>
            </w:r>
          </w:p>
        </w:tc>
        <w:tc>
          <w:tcPr>
            <w:tcW w:w="8820" w:type="dxa"/>
            <w:noWrap w:val="0"/>
            <w:vAlign w:val="center"/>
          </w:tcPr>
          <w:p w14:paraId="43779D13">
            <w:pPr>
              <w:spacing w:line="640" w:lineRule="exact"/>
              <w:rPr>
                <w:rFonts w:hint="eastAsia"/>
              </w:rPr>
            </w:pPr>
            <w:r>
              <w:rPr>
                <w:rFonts w:hint="eastAsia"/>
              </w:rPr>
              <w:t>选取经国家和省级认定的能效测评机构，对新建、改扩建的国家机关办公建筑和大型公共建筑，进行能源利用效率测评和标识。</w:t>
            </w:r>
          </w:p>
        </w:tc>
        <w:tc>
          <w:tcPr>
            <w:tcW w:w="1800" w:type="dxa"/>
            <w:noWrap w:val="0"/>
            <w:vAlign w:val="center"/>
          </w:tcPr>
          <w:p w14:paraId="6BAAAC74">
            <w:pPr>
              <w:spacing w:line="640" w:lineRule="exact"/>
              <w:jc w:val="center"/>
              <w:rPr>
                <w:rFonts w:hint="eastAsia"/>
              </w:rPr>
            </w:pPr>
            <w:r>
              <w:rPr>
                <w:rFonts w:hint="eastAsia"/>
              </w:rPr>
              <w:t>市城乡建设局</w:t>
            </w:r>
          </w:p>
        </w:tc>
        <w:tc>
          <w:tcPr>
            <w:tcW w:w="1800" w:type="dxa"/>
            <w:noWrap w:val="0"/>
            <w:vAlign w:val="center"/>
          </w:tcPr>
          <w:p w14:paraId="01486CD3">
            <w:pPr>
              <w:spacing w:line="640" w:lineRule="exact"/>
              <w:jc w:val="center"/>
              <w:rPr>
                <w:rFonts w:hint="eastAsia"/>
              </w:rPr>
            </w:pPr>
            <w:r>
              <w:rPr>
                <w:rFonts w:hint="eastAsia"/>
              </w:rPr>
              <w:t>市机关局</w:t>
            </w:r>
          </w:p>
        </w:tc>
        <w:tc>
          <w:tcPr>
            <w:tcW w:w="1342" w:type="dxa"/>
            <w:noWrap w:val="0"/>
            <w:vAlign w:val="top"/>
          </w:tcPr>
          <w:p w14:paraId="1997C148">
            <w:pPr>
              <w:spacing w:line="640" w:lineRule="exact"/>
              <w:jc w:val="center"/>
              <w:rPr>
                <w:rFonts w:hint="eastAsia" w:ascii="宋体" w:hAnsi="宋体" w:cs="宋体"/>
                <w:color w:val="2B2B2B"/>
                <w:kern w:val="0"/>
                <w:szCs w:val="21"/>
              </w:rPr>
            </w:pPr>
          </w:p>
        </w:tc>
      </w:tr>
      <w:tr w14:paraId="1F2FD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noWrap w:val="0"/>
            <w:vAlign w:val="center"/>
          </w:tcPr>
          <w:p w14:paraId="07851043">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25</w:t>
            </w:r>
          </w:p>
        </w:tc>
        <w:tc>
          <w:tcPr>
            <w:tcW w:w="8820" w:type="dxa"/>
            <w:noWrap w:val="0"/>
            <w:vAlign w:val="center"/>
          </w:tcPr>
          <w:p w14:paraId="711D7557">
            <w:pPr>
              <w:spacing w:line="640" w:lineRule="exact"/>
              <w:rPr>
                <w:rFonts w:hint="eastAsia"/>
              </w:rPr>
            </w:pPr>
            <w:r>
              <w:rPr>
                <w:rFonts w:hint="eastAsia"/>
              </w:rPr>
              <w:t>配合省级部门开展绿色建筑共性和关键技术研发，搭建研企合作平台，因地制宜推广自然采光、高效空调、隔音等成熟技术，加快普及低辐射镀膜玻璃、节水器具等高效节能产品。</w:t>
            </w:r>
          </w:p>
        </w:tc>
        <w:tc>
          <w:tcPr>
            <w:tcW w:w="1800" w:type="dxa"/>
            <w:noWrap w:val="0"/>
            <w:vAlign w:val="center"/>
          </w:tcPr>
          <w:p w14:paraId="68EFB058">
            <w:pPr>
              <w:spacing w:line="640" w:lineRule="exact"/>
              <w:jc w:val="center"/>
              <w:rPr>
                <w:rFonts w:hint="eastAsia"/>
              </w:rPr>
            </w:pPr>
            <w:r>
              <w:rPr>
                <w:rFonts w:hint="eastAsia"/>
              </w:rPr>
              <w:t>市城乡建设局</w:t>
            </w:r>
          </w:p>
        </w:tc>
        <w:tc>
          <w:tcPr>
            <w:tcW w:w="1800" w:type="dxa"/>
            <w:noWrap w:val="0"/>
            <w:vAlign w:val="center"/>
          </w:tcPr>
          <w:p w14:paraId="33C9CFA2">
            <w:pPr>
              <w:spacing w:line="640" w:lineRule="exact"/>
              <w:jc w:val="center"/>
              <w:rPr>
                <w:rFonts w:hint="eastAsia"/>
              </w:rPr>
            </w:pPr>
          </w:p>
        </w:tc>
        <w:tc>
          <w:tcPr>
            <w:tcW w:w="1342" w:type="dxa"/>
            <w:noWrap w:val="0"/>
            <w:vAlign w:val="top"/>
          </w:tcPr>
          <w:p w14:paraId="4A75DA04">
            <w:pPr>
              <w:spacing w:line="640" w:lineRule="exact"/>
              <w:jc w:val="center"/>
              <w:rPr>
                <w:rFonts w:hint="eastAsia" w:ascii="宋体" w:hAnsi="宋体" w:cs="宋体"/>
                <w:color w:val="2B2B2B"/>
                <w:kern w:val="0"/>
                <w:szCs w:val="21"/>
              </w:rPr>
            </w:pPr>
          </w:p>
        </w:tc>
      </w:tr>
      <w:tr w14:paraId="26E6F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noWrap w:val="0"/>
            <w:vAlign w:val="center"/>
          </w:tcPr>
          <w:p w14:paraId="7A73085D">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26</w:t>
            </w:r>
          </w:p>
        </w:tc>
        <w:tc>
          <w:tcPr>
            <w:tcW w:w="8820" w:type="dxa"/>
            <w:noWrap w:val="0"/>
            <w:vAlign w:val="center"/>
          </w:tcPr>
          <w:p w14:paraId="73A1D625">
            <w:pPr>
              <w:spacing w:line="640" w:lineRule="exact"/>
              <w:rPr>
                <w:rFonts w:hint="eastAsia"/>
              </w:rPr>
            </w:pPr>
            <w:r>
              <w:rPr>
                <w:rFonts w:hint="eastAsia"/>
              </w:rPr>
              <w:t>推进墙体材料革新，大力支持新型保温材料、多功能复合一体化墙体保温材料、一体化屋面、低辐射镀膜玻璃、高效节能门窗等建材产业的发展。引导高性能混凝土、高强钢的发展利用。引导工程建设单位和社会公众优先使用省建筑节能技术及产品推广目录产品。</w:t>
            </w:r>
          </w:p>
        </w:tc>
        <w:tc>
          <w:tcPr>
            <w:tcW w:w="1800" w:type="dxa"/>
            <w:noWrap w:val="0"/>
            <w:vAlign w:val="center"/>
          </w:tcPr>
          <w:p w14:paraId="69348178">
            <w:pPr>
              <w:spacing w:line="640" w:lineRule="exact"/>
              <w:jc w:val="center"/>
              <w:rPr>
                <w:rFonts w:hint="eastAsia"/>
              </w:rPr>
            </w:pPr>
            <w:r>
              <w:rPr>
                <w:rFonts w:hint="eastAsia"/>
              </w:rPr>
              <w:t>市城乡建设局</w:t>
            </w:r>
          </w:p>
        </w:tc>
        <w:tc>
          <w:tcPr>
            <w:tcW w:w="1800" w:type="dxa"/>
            <w:noWrap w:val="0"/>
            <w:vAlign w:val="center"/>
          </w:tcPr>
          <w:p w14:paraId="3C0DF72C">
            <w:pPr>
              <w:spacing w:line="640" w:lineRule="exact"/>
              <w:jc w:val="center"/>
              <w:rPr>
                <w:rFonts w:hint="eastAsia"/>
              </w:rPr>
            </w:pPr>
          </w:p>
        </w:tc>
        <w:tc>
          <w:tcPr>
            <w:tcW w:w="1342" w:type="dxa"/>
            <w:noWrap w:val="0"/>
            <w:vAlign w:val="top"/>
          </w:tcPr>
          <w:p w14:paraId="185092EF">
            <w:pPr>
              <w:spacing w:line="640" w:lineRule="exact"/>
              <w:jc w:val="center"/>
              <w:rPr>
                <w:rFonts w:hint="eastAsia" w:ascii="宋体" w:hAnsi="宋体" w:cs="宋体"/>
                <w:color w:val="2B2B2B"/>
                <w:kern w:val="0"/>
                <w:szCs w:val="21"/>
              </w:rPr>
            </w:pPr>
          </w:p>
        </w:tc>
      </w:tr>
      <w:tr w14:paraId="05CCC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48" w:type="dxa"/>
            <w:noWrap w:val="0"/>
            <w:vAlign w:val="center"/>
          </w:tcPr>
          <w:p w14:paraId="60807602">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27</w:t>
            </w:r>
          </w:p>
        </w:tc>
        <w:tc>
          <w:tcPr>
            <w:tcW w:w="8820" w:type="dxa"/>
            <w:noWrap w:val="0"/>
            <w:vAlign w:val="center"/>
          </w:tcPr>
          <w:p w14:paraId="4EF3A0B6">
            <w:pPr>
              <w:spacing w:line="640" w:lineRule="exact"/>
              <w:rPr>
                <w:rFonts w:hint="eastAsia"/>
              </w:rPr>
            </w:pPr>
            <w:r>
              <w:rPr>
                <w:rFonts w:hint="eastAsia"/>
              </w:rPr>
              <w:t>加强建材生产等环节的质量监管和稽查，源头杜绝性能不达标建材进入市场。</w:t>
            </w:r>
          </w:p>
        </w:tc>
        <w:tc>
          <w:tcPr>
            <w:tcW w:w="1800" w:type="dxa"/>
            <w:noWrap w:val="0"/>
            <w:vAlign w:val="center"/>
          </w:tcPr>
          <w:p w14:paraId="510FE88F">
            <w:pPr>
              <w:spacing w:line="640" w:lineRule="exact"/>
              <w:jc w:val="center"/>
              <w:rPr>
                <w:rFonts w:hint="eastAsia"/>
              </w:rPr>
            </w:pPr>
            <w:r>
              <w:rPr>
                <w:rFonts w:hint="eastAsia"/>
              </w:rPr>
              <w:t>市质监局</w:t>
            </w:r>
          </w:p>
        </w:tc>
        <w:tc>
          <w:tcPr>
            <w:tcW w:w="1800" w:type="dxa"/>
            <w:noWrap w:val="0"/>
            <w:vAlign w:val="center"/>
          </w:tcPr>
          <w:p w14:paraId="3BF7608C">
            <w:pPr>
              <w:spacing w:line="640" w:lineRule="exact"/>
              <w:jc w:val="center"/>
              <w:rPr>
                <w:rFonts w:hint="eastAsia"/>
              </w:rPr>
            </w:pPr>
          </w:p>
        </w:tc>
        <w:tc>
          <w:tcPr>
            <w:tcW w:w="1342" w:type="dxa"/>
            <w:noWrap w:val="0"/>
            <w:vAlign w:val="top"/>
          </w:tcPr>
          <w:p w14:paraId="64CFBEF1">
            <w:pPr>
              <w:spacing w:line="640" w:lineRule="exact"/>
              <w:jc w:val="center"/>
              <w:rPr>
                <w:rFonts w:hint="eastAsia" w:ascii="宋体" w:hAnsi="宋体" w:cs="宋体"/>
                <w:color w:val="2B2B2B"/>
                <w:kern w:val="0"/>
                <w:szCs w:val="21"/>
              </w:rPr>
            </w:pPr>
          </w:p>
        </w:tc>
      </w:tr>
      <w:tr w14:paraId="449DF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noWrap w:val="0"/>
            <w:vAlign w:val="center"/>
          </w:tcPr>
          <w:p w14:paraId="27D1D3DB">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28</w:t>
            </w:r>
          </w:p>
        </w:tc>
        <w:tc>
          <w:tcPr>
            <w:tcW w:w="8820" w:type="dxa"/>
            <w:noWrap w:val="0"/>
            <w:vAlign w:val="center"/>
          </w:tcPr>
          <w:p w14:paraId="1B350481">
            <w:pPr>
              <w:spacing w:line="640" w:lineRule="exact"/>
              <w:rPr>
                <w:rFonts w:hint="eastAsia"/>
              </w:rPr>
            </w:pPr>
            <w:r>
              <w:rPr>
                <w:rFonts w:hint="eastAsia"/>
              </w:rPr>
              <w:t>积极引进装配式钢结构建筑企业，培育装配式产业基地；鼓励各类新建项目采用装配式建造。</w:t>
            </w:r>
          </w:p>
        </w:tc>
        <w:tc>
          <w:tcPr>
            <w:tcW w:w="1800" w:type="dxa"/>
            <w:noWrap w:val="0"/>
            <w:vAlign w:val="center"/>
          </w:tcPr>
          <w:p w14:paraId="1A1B1097">
            <w:pPr>
              <w:spacing w:line="640" w:lineRule="exact"/>
              <w:jc w:val="center"/>
              <w:rPr>
                <w:rFonts w:hint="eastAsia"/>
              </w:rPr>
            </w:pPr>
            <w:r>
              <w:rPr>
                <w:rFonts w:hint="eastAsia"/>
              </w:rPr>
              <w:t>市城乡建设局</w:t>
            </w:r>
          </w:p>
        </w:tc>
        <w:tc>
          <w:tcPr>
            <w:tcW w:w="1800" w:type="dxa"/>
            <w:noWrap w:val="0"/>
            <w:vAlign w:val="center"/>
          </w:tcPr>
          <w:p w14:paraId="4E11B209">
            <w:pPr>
              <w:spacing w:line="640" w:lineRule="exact"/>
              <w:jc w:val="center"/>
              <w:rPr>
                <w:rFonts w:hint="eastAsia"/>
              </w:rPr>
            </w:pPr>
            <w:r>
              <w:rPr>
                <w:rFonts w:hint="eastAsia"/>
              </w:rPr>
              <w:t>市规划局</w:t>
            </w:r>
          </w:p>
          <w:p w14:paraId="5E663F7D">
            <w:pPr>
              <w:spacing w:line="640" w:lineRule="exact"/>
              <w:jc w:val="center"/>
              <w:rPr>
                <w:rFonts w:hint="eastAsia"/>
              </w:rPr>
            </w:pPr>
            <w:r>
              <w:rPr>
                <w:rFonts w:hint="eastAsia"/>
              </w:rPr>
              <w:t>市国土资源局</w:t>
            </w:r>
          </w:p>
          <w:p w14:paraId="2300BBBC">
            <w:pPr>
              <w:spacing w:line="640" w:lineRule="exact"/>
              <w:jc w:val="center"/>
              <w:rPr>
                <w:rFonts w:hint="eastAsia"/>
              </w:rPr>
            </w:pPr>
            <w:r>
              <w:rPr>
                <w:rFonts w:hint="eastAsia"/>
              </w:rPr>
              <w:t>市发改委</w:t>
            </w:r>
          </w:p>
          <w:p w14:paraId="6177A477">
            <w:pPr>
              <w:spacing w:line="640" w:lineRule="exact"/>
              <w:jc w:val="center"/>
              <w:rPr>
                <w:rFonts w:hint="eastAsia"/>
              </w:rPr>
            </w:pPr>
            <w:r>
              <w:rPr>
                <w:rFonts w:hint="eastAsia"/>
              </w:rPr>
              <w:t>市工信委</w:t>
            </w:r>
          </w:p>
        </w:tc>
        <w:tc>
          <w:tcPr>
            <w:tcW w:w="1342" w:type="dxa"/>
            <w:noWrap w:val="0"/>
            <w:vAlign w:val="top"/>
          </w:tcPr>
          <w:p w14:paraId="51B364F9">
            <w:pPr>
              <w:spacing w:line="640" w:lineRule="exact"/>
              <w:jc w:val="center"/>
              <w:rPr>
                <w:rFonts w:hint="eastAsia" w:ascii="宋体" w:hAnsi="宋体" w:cs="宋体"/>
                <w:color w:val="2B2B2B"/>
                <w:kern w:val="0"/>
                <w:szCs w:val="21"/>
              </w:rPr>
            </w:pPr>
          </w:p>
        </w:tc>
      </w:tr>
      <w:tr w14:paraId="3FEF5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noWrap w:val="0"/>
            <w:vAlign w:val="center"/>
          </w:tcPr>
          <w:p w14:paraId="4B0FCDD8">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29</w:t>
            </w:r>
          </w:p>
        </w:tc>
        <w:tc>
          <w:tcPr>
            <w:tcW w:w="8820" w:type="dxa"/>
            <w:noWrap w:val="0"/>
            <w:vAlign w:val="center"/>
          </w:tcPr>
          <w:p w14:paraId="7EC6A68C">
            <w:pPr>
              <w:spacing w:line="640" w:lineRule="exact"/>
              <w:rPr>
                <w:rFonts w:hint="eastAsia"/>
              </w:rPr>
            </w:pPr>
            <w:r>
              <w:rPr>
                <w:rFonts w:hint="eastAsia"/>
              </w:rPr>
              <w:t>大型公共建筑拆除前，按有关程序提前面向社会公开征求意见，接受监督。依法依规追究违规拆除行为。</w:t>
            </w:r>
          </w:p>
        </w:tc>
        <w:tc>
          <w:tcPr>
            <w:tcW w:w="1800" w:type="dxa"/>
            <w:noWrap w:val="0"/>
            <w:vAlign w:val="center"/>
          </w:tcPr>
          <w:p w14:paraId="41B35208">
            <w:pPr>
              <w:spacing w:line="640" w:lineRule="exact"/>
              <w:jc w:val="center"/>
              <w:rPr>
                <w:rFonts w:hint="eastAsia"/>
              </w:rPr>
            </w:pPr>
            <w:r>
              <w:rPr>
                <w:rFonts w:hint="eastAsia"/>
              </w:rPr>
              <w:t>市征收办</w:t>
            </w:r>
          </w:p>
        </w:tc>
        <w:tc>
          <w:tcPr>
            <w:tcW w:w="1800" w:type="dxa"/>
            <w:noWrap w:val="0"/>
            <w:vAlign w:val="center"/>
          </w:tcPr>
          <w:p w14:paraId="502F5F89">
            <w:pPr>
              <w:spacing w:line="640" w:lineRule="exact"/>
              <w:jc w:val="center"/>
              <w:rPr>
                <w:rFonts w:hint="eastAsia"/>
              </w:rPr>
            </w:pPr>
          </w:p>
        </w:tc>
        <w:tc>
          <w:tcPr>
            <w:tcW w:w="1342" w:type="dxa"/>
            <w:noWrap w:val="0"/>
            <w:vAlign w:val="top"/>
          </w:tcPr>
          <w:p w14:paraId="648BB59C">
            <w:pPr>
              <w:spacing w:line="640" w:lineRule="exact"/>
              <w:jc w:val="center"/>
              <w:rPr>
                <w:rFonts w:hint="eastAsia" w:ascii="宋体" w:hAnsi="宋体" w:cs="宋体"/>
                <w:color w:val="2B2B2B"/>
                <w:kern w:val="0"/>
                <w:szCs w:val="21"/>
              </w:rPr>
            </w:pPr>
          </w:p>
        </w:tc>
      </w:tr>
      <w:tr w14:paraId="58E8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noWrap w:val="0"/>
            <w:vAlign w:val="center"/>
          </w:tcPr>
          <w:p w14:paraId="0E7DECA1">
            <w:pPr>
              <w:widowControl/>
              <w:spacing w:line="640" w:lineRule="exact"/>
              <w:jc w:val="center"/>
              <w:rPr>
                <w:rFonts w:hint="eastAsia"/>
              </w:rPr>
            </w:pPr>
            <w:r>
              <w:rPr>
                <w:rFonts w:hint="eastAsia"/>
              </w:rPr>
              <w:t>30</w:t>
            </w:r>
          </w:p>
        </w:tc>
        <w:tc>
          <w:tcPr>
            <w:tcW w:w="8820" w:type="dxa"/>
            <w:noWrap w:val="0"/>
            <w:vAlign w:val="center"/>
          </w:tcPr>
          <w:p w14:paraId="36D3C66C">
            <w:pPr>
              <w:spacing w:line="640" w:lineRule="exact"/>
              <w:rPr>
                <w:rFonts w:hint="eastAsia"/>
              </w:rPr>
            </w:pPr>
            <w:r>
              <w:rPr>
                <w:rFonts w:hint="eastAsia"/>
              </w:rPr>
              <w:t>支持建筑废弃物再生产品的研发机构和生产企业发展，推进建筑废弃物集中处理和资源化利用，推广建筑废弃物利用技术、装备和示范项目。研究制定资源化利用扶持政策，鼓励新建、改建、扩建的各类工程项目在保证工程质量的前提下，优先使用建筑废弃物资源化利用产品。</w:t>
            </w:r>
          </w:p>
        </w:tc>
        <w:tc>
          <w:tcPr>
            <w:tcW w:w="1800" w:type="dxa"/>
            <w:noWrap w:val="0"/>
            <w:vAlign w:val="center"/>
          </w:tcPr>
          <w:p w14:paraId="2DC2EE9E">
            <w:pPr>
              <w:spacing w:line="640" w:lineRule="exact"/>
              <w:jc w:val="center"/>
              <w:rPr>
                <w:rFonts w:hint="eastAsia"/>
              </w:rPr>
            </w:pPr>
            <w:r>
              <w:rPr>
                <w:rFonts w:hint="eastAsia"/>
              </w:rPr>
              <w:t>市综合行政执法局</w:t>
            </w:r>
          </w:p>
          <w:p w14:paraId="796DB917">
            <w:pPr>
              <w:spacing w:line="640" w:lineRule="exact"/>
              <w:jc w:val="center"/>
              <w:rPr>
                <w:rFonts w:hint="eastAsia"/>
              </w:rPr>
            </w:pPr>
            <w:r>
              <w:rPr>
                <w:rFonts w:hint="eastAsia"/>
              </w:rPr>
              <w:t>市城乡建设局</w:t>
            </w:r>
          </w:p>
        </w:tc>
        <w:tc>
          <w:tcPr>
            <w:tcW w:w="1800" w:type="dxa"/>
            <w:noWrap w:val="0"/>
            <w:vAlign w:val="center"/>
          </w:tcPr>
          <w:p w14:paraId="0288A83B">
            <w:pPr>
              <w:spacing w:line="640" w:lineRule="exact"/>
              <w:jc w:val="center"/>
              <w:rPr>
                <w:rFonts w:hint="eastAsia"/>
              </w:rPr>
            </w:pPr>
          </w:p>
        </w:tc>
        <w:tc>
          <w:tcPr>
            <w:tcW w:w="1342" w:type="dxa"/>
            <w:noWrap w:val="0"/>
            <w:vAlign w:val="top"/>
          </w:tcPr>
          <w:p w14:paraId="32D507F0">
            <w:pPr>
              <w:spacing w:line="640" w:lineRule="exact"/>
              <w:jc w:val="center"/>
              <w:rPr>
                <w:rFonts w:hint="eastAsia" w:ascii="宋体" w:hAnsi="宋体" w:cs="宋体"/>
                <w:color w:val="2B2B2B"/>
                <w:kern w:val="0"/>
                <w:szCs w:val="21"/>
              </w:rPr>
            </w:pPr>
          </w:p>
        </w:tc>
      </w:tr>
      <w:tr w14:paraId="02504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48" w:type="dxa"/>
            <w:noWrap w:val="0"/>
            <w:vAlign w:val="center"/>
          </w:tcPr>
          <w:p w14:paraId="38F212FE">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31</w:t>
            </w:r>
          </w:p>
        </w:tc>
        <w:tc>
          <w:tcPr>
            <w:tcW w:w="8820" w:type="dxa"/>
            <w:noWrap w:val="0"/>
            <w:vAlign w:val="center"/>
          </w:tcPr>
          <w:p w14:paraId="229B4C39">
            <w:pPr>
              <w:spacing w:line="640" w:lineRule="exact"/>
              <w:rPr>
                <w:rFonts w:hint="eastAsia"/>
              </w:rPr>
            </w:pPr>
            <w:r>
              <w:rPr>
                <w:rFonts w:hint="eastAsia"/>
              </w:rPr>
              <w:t>落实省促进绿色建筑发展在土地出让、租赁和划拨方面的激励措施和办法。</w:t>
            </w:r>
          </w:p>
        </w:tc>
        <w:tc>
          <w:tcPr>
            <w:tcW w:w="1800" w:type="dxa"/>
            <w:noWrap w:val="0"/>
            <w:vAlign w:val="center"/>
          </w:tcPr>
          <w:p w14:paraId="79CA284E">
            <w:pPr>
              <w:spacing w:line="640" w:lineRule="exact"/>
              <w:jc w:val="center"/>
              <w:rPr>
                <w:rFonts w:hint="eastAsia"/>
              </w:rPr>
            </w:pPr>
            <w:r>
              <w:rPr>
                <w:rFonts w:hint="eastAsia"/>
              </w:rPr>
              <w:t>市国土资源局</w:t>
            </w:r>
          </w:p>
        </w:tc>
        <w:tc>
          <w:tcPr>
            <w:tcW w:w="1800" w:type="dxa"/>
            <w:noWrap w:val="0"/>
            <w:vAlign w:val="top"/>
          </w:tcPr>
          <w:p w14:paraId="0A30B302">
            <w:pPr>
              <w:spacing w:line="640" w:lineRule="exact"/>
              <w:jc w:val="center"/>
              <w:rPr>
                <w:rFonts w:hint="eastAsia"/>
              </w:rPr>
            </w:pPr>
          </w:p>
        </w:tc>
        <w:tc>
          <w:tcPr>
            <w:tcW w:w="1342" w:type="dxa"/>
            <w:noWrap w:val="0"/>
            <w:vAlign w:val="top"/>
          </w:tcPr>
          <w:p w14:paraId="7D4C025C">
            <w:pPr>
              <w:spacing w:line="640" w:lineRule="exact"/>
              <w:jc w:val="center"/>
              <w:rPr>
                <w:rFonts w:hint="eastAsia"/>
              </w:rPr>
            </w:pPr>
          </w:p>
        </w:tc>
      </w:tr>
      <w:tr w14:paraId="2F7EC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648" w:type="dxa"/>
            <w:noWrap w:val="0"/>
            <w:vAlign w:val="center"/>
          </w:tcPr>
          <w:p w14:paraId="06D96607">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32</w:t>
            </w:r>
          </w:p>
        </w:tc>
        <w:tc>
          <w:tcPr>
            <w:tcW w:w="8820" w:type="dxa"/>
            <w:noWrap w:val="0"/>
            <w:vAlign w:val="center"/>
          </w:tcPr>
          <w:p w14:paraId="397E11F2">
            <w:pPr>
              <w:spacing w:line="640" w:lineRule="exact"/>
              <w:rPr>
                <w:rFonts w:hint="eastAsia" w:ascii="宋体" w:hAnsi="宋体" w:cs="宋体"/>
                <w:color w:val="2B2B2B"/>
                <w:kern w:val="0"/>
                <w:szCs w:val="21"/>
              </w:rPr>
            </w:pPr>
            <w:r>
              <w:rPr>
                <w:rFonts w:hint="eastAsia"/>
              </w:rPr>
              <w:t>结合实际研究制定规划容积率奖励等绿色建筑推广措施。</w:t>
            </w:r>
          </w:p>
        </w:tc>
        <w:tc>
          <w:tcPr>
            <w:tcW w:w="1800" w:type="dxa"/>
            <w:noWrap w:val="0"/>
            <w:vAlign w:val="center"/>
          </w:tcPr>
          <w:p w14:paraId="355E2C8F">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市规划局</w:t>
            </w:r>
          </w:p>
        </w:tc>
        <w:tc>
          <w:tcPr>
            <w:tcW w:w="1800" w:type="dxa"/>
            <w:noWrap w:val="0"/>
            <w:vAlign w:val="top"/>
          </w:tcPr>
          <w:p w14:paraId="2CDE500E">
            <w:pPr>
              <w:spacing w:line="640" w:lineRule="exact"/>
              <w:jc w:val="center"/>
              <w:rPr>
                <w:rFonts w:hint="eastAsia" w:ascii="宋体" w:hAnsi="宋体"/>
                <w:b/>
                <w:sz w:val="32"/>
                <w:szCs w:val="32"/>
              </w:rPr>
            </w:pPr>
          </w:p>
        </w:tc>
        <w:tc>
          <w:tcPr>
            <w:tcW w:w="1342" w:type="dxa"/>
            <w:noWrap w:val="0"/>
            <w:vAlign w:val="top"/>
          </w:tcPr>
          <w:p w14:paraId="70DC94CE">
            <w:pPr>
              <w:spacing w:line="640" w:lineRule="exact"/>
              <w:jc w:val="center"/>
              <w:rPr>
                <w:rFonts w:hint="eastAsia" w:ascii="宋体" w:hAnsi="宋体"/>
                <w:b/>
                <w:sz w:val="32"/>
                <w:szCs w:val="32"/>
              </w:rPr>
            </w:pPr>
          </w:p>
        </w:tc>
      </w:tr>
      <w:tr w14:paraId="55163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648" w:type="dxa"/>
            <w:noWrap w:val="0"/>
            <w:vAlign w:val="center"/>
          </w:tcPr>
          <w:p w14:paraId="55124C68">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33</w:t>
            </w:r>
          </w:p>
        </w:tc>
        <w:tc>
          <w:tcPr>
            <w:tcW w:w="8820" w:type="dxa"/>
            <w:noWrap w:val="0"/>
            <w:vAlign w:val="center"/>
          </w:tcPr>
          <w:p w14:paraId="4E5719AC">
            <w:pPr>
              <w:spacing w:line="640" w:lineRule="exact"/>
              <w:rPr>
                <w:rFonts w:hint="eastAsia" w:ascii="宋体" w:hAnsi="宋体" w:cs="宋体"/>
                <w:color w:val="2B2B2B"/>
                <w:kern w:val="0"/>
                <w:szCs w:val="21"/>
              </w:rPr>
            </w:pPr>
            <w:r>
              <w:rPr>
                <w:rFonts w:hint="eastAsia" w:ascii="宋体" w:hAnsi="宋体" w:cs="宋体"/>
                <w:color w:val="2B2B2B"/>
                <w:kern w:val="0"/>
                <w:szCs w:val="21"/>
              </w:rPr>
              <w:t>引导城镇商业房地产开发项目执行绿色建筑标准，鼓励房地产开发企业建设绿色住宅小区。</w:t>
            </w:r>
          </w:p>
        </w:tc>
        <w:tc>
          <w:tcPr>
            <w:tcW w:w="1800" w:type="dxa"/>
            <w:noWrap w:val="0"/>
            <w:vAlign w:val="center"/>
          </w:tcPr>
          <w:p w14:paraId="30E995AC">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市房产局</w:t>
            </w:r>
          </w:p>
        </w:tc>
        <w:tc>
          <w:tcPr>
            <w:tcW w:w="1800" w:type="dxa"/>
            <w:noWrap w:val="0"/>
            <w:vAlign w:val="top"/>
          </w:tcPr>
          <w:p w14:paraId="564DF9B8">
            <w:pPr>
              <w:spacing w:line="640" w:lineRule="exact"/>
              <w:jc w:val="center"/>
              <w:rPr>
                <w:rFonts w:hint="eastAsia" w:ascii="宋体" w:hAnsi="宋体" w:cs="宋体"/>
                <w:color w:val="2B2B2B"/>
                <w:kern w:val="0"/>
                <w:szCs w:val="21"/>
              </w:rPr>
            </w:pPr>
          </w:p>
        </w:tc>
        <w:tc>
          <w:tcPr>
            <w:tcW w:w="1342" w:type="dxa"/>
            <w:noWrap w:val="0"/>
            <w:vAlign w:val="top"/>
          </w:tcPr>
          <w:p w14:paraId="1CE4A368">
            <w:pPr>
              <w:spacing w:line="640" w:lineRule="exact"/>
              <w:jc w:val="center"/>
              <w:rPr>
                <w:rFonts w:hint="eastAsia" w:ascii="宋体" w:hAnsi="宋体" w:cs="宋体"/>
                <w:color w:val="2B2B2B"/>
                <w:kern w:val="0"/>
                <w:szCs w:val="21"/>
              </w:rPr>
            </w:pPr>
          </w:p>
        </w:tc>
      </w:tr>
      <w:tr w14:paraId="7675D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48" w:type="dxa"/>
            <w:noWrap w:val="0"/>
            <w:vAlign w:val="center"/>
          </w:tcPr>
          <w:p w14:paraId="115FA0A5">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34</w:t>
            </w:r>
          </w:p>
        </w:tc>
        <w:tc>
          <w:tcPr>
            <w:tcW w:w="8820" w:type="dxa"/>
            <w:noWrap w:val="0"/>
            <w:vAlign w:val="top"/>
          </w:tcPr>
          <w:p w14:paraId="5B6B772A">
            <w:pPr>
              <w:spacing w:line="640" w:lineRule="exact"/>
              <w:rPr>
                <w:rFonts w:hint="eastAsia"/>
              </w:rPr>
            </w:pPr>
            <w:r>
              <w:rPr>
                <w:rFonts w:hint="eastAsia"/>
              </w:rPr>
              <w:t>遵循自愿原则，组织执行绿色建筑标准的工程项目建设单位申请绿色建筑评价标识，并</w:t>
            </w:r>
            <w:r>
              <w:rPr>
                <w:rFonts w:hint="eastAsia" w:ascii="宋体" w:hAnsi="宋体" w:cs="宋体"/>
                <w:color w:val="2B2B2B"/>
                <w:kern w:val="0"/>
                <w:szCs w:val="21"/>
              </w:rPr>
              <w:t>在信用评价、资质升级和国家、省级评优活动及各类示范工程评选中优先推荐、加分</w:t>
            </w:r>
            <w:r>
              <w:rPr>
                <w:rFonts w:hint="eastAsia"/>
              </w:rPr>
              <w:t>。</w:t>
            </w:r>
          </w:p>
        </w:tc>
        <w:tc>
          <w:tcPr>
            <w:tcW w:w="1800" w:type="dxa"/>
            <w:noWrap w:val="0"/>
            <w:vAlign w:val="center"/>
          </w:tcPr>
          <w:p w14:paraId="75879BF9">
            <w:pPr>
              <w:spacing w:line="640" w:lineRule="exact"/>
              <w:jc w:val="center"/>
              <w:rPr>
                <w:rFonts w:hint="eastAsia"/>
              </w:rPr>
            </w:pPr>
            <w:r>
              <w:rPr>
                <w:rFonts w:hint="eastAsia"/>
              </w:rPr>
              <w:t>市城乡建设局</w:t>
            </w:r>
          </w:p>
        </w:tc>
        <w:tc>
          <w:tcPr>
            <w:tcW w:w="1800" w:type="dxa"/>
            <w:noWrap w:val="0"/>
            <w:vAlign w:val="top"/>
          </w:tcPr>
          <w:p w14:paraId="380558B9">
            <w:pPr>
              <w:spacing w:line="640" w:lineRule="exact"/>
              <w:jc w:val="center"/>
              <w:rPr>
                <w:rFonts w:hint="eastAsia"/>
              </w:rPr>
            </w:pPr>
          </w:p>
        </w:tc>
        <w:tc>
          <w:tcPr>
            <w:tcW w:w="1342" w:type="dxa"/>
            <w:noWrap w:val="0"/>
            <w:vAlign w:val="top"/>
          </w:tcPr>
          <w:p w14:paraId="09303497">
            <w:pPr>
              <w:spacing w:line="640" w:lineRule="exact"/>
              <w:jc w:val="center"/>
              <w:rPr>
                <w:rFonts w:hint="eastAsia"/>
              </w:rPr>
            </w:pPr>
          </w:p>
        </w:tc>
      </w:tr>
      <w:tr w14:paraId="5FB7E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0C539F04">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35</w:t>
            </w:r>
          </w:p>
        </w:tc>
        <w:tc>
          <w:tcPr>
            <w:tcW w:w="8820" w:type="dxa"/>
            <w:noWrap w:val="0"/>
            <w:vAlign w:val="top"/>
          </w:tcPr>
          <w:p w14:paraId="6DD1FF19">
            <w:pPr>
              <w:spacing w:line="640" w:lineRule="exact"/>
              <w:rPr>
                <w:rFonts w:ascii="宋体" w:hAnsi="宋体" w:cs="宋体"/>
                <w:color w:val="2B2B2B"/>
                <w:kern w:val="0"/>
                <w:szCs w:val="21"/>
              </w:rPr>
            </w:pPr>
            <w:r>
              <w:rPr>
                <w:rFonts w:hint="eastAsia" w:ascii="宋体" w:hAnsi="宋体" w:cs="宋体"/>
                <w:color w:val="2B2B2B"/>
                <w:kern w:val="0"/>
                <w:szCs w:val="21"/>
              </w:rPr>
              <w:t>鼓励企业利用《资源综合利用企业所得税优惠目录》规定的资源作为主要原材料生产建筑材料，落实好税收优惠政策。加大财政资金支持绿色建筑发展力度。</w:t>
            </w:r>
          </w:p>
        </w:tc>
        <w:tc>
          <w:tcPr>
            <w:tcW w:w="1800" w:type="dxa"/>
            <w:noWrap w:val="0"/>
            <w:vAlign w:val="center"/>
          </w:tcPr>
          <w:p w14:paraId="11E6E2E7">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市税务局</w:t>
            </w:r>
          </w:p>
          <w:p w14:paraId="565E0900">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市财政局</w:t>
            </w:r>
          </w:p>
        </w:tc>
        <w:tc>
          <w:tcPr>
            <w:tcW w:w="1800" w:type="dxa"/>
            <w:noWrap w:val="0"/>
            <w:vAlign w:val="top"/>
          </w:tcPr>
          <w:p w14:paraId="7E163337">
            <w:pPr>
              <w:spacing w:line="640" w:lineRule="exact"/>
              <w:rPr>
                <w:rFonts w:hint="eastAsia" w:ascii="宋体" w:hAnsi="宋体" w:cs="宋体"/>
                <w:color w:val="2B2B2B"/>
                <w:kern w:val="0"/>
                <w:szCs w:val="21"/>
              </w:rPr>
            </w:pPr>
          </w:p>
        </w:tc>
        <w:tc>
          <w:tcPr>
            <w:tcW w:w="1342" w:type="dxa"/>
            <w:noWrap w:val="0"/>
            <w:vAlign w:val="top"/>
          </w:tcPr>
          <w:p w14:paraId="6F9EB769">
            <w:pPr>
              <w:spacing w:line="640" w:lineRule="exact"/>
              <w:jc w:val="center"/>
              <w:rPr>
                <w:rFonts w:hint="eastAsia" w:ascii="宋体" w:hAnsi="宋体"/>
                <w:b/>
                <w:sz w:val="32"/>
                <w:szCs w:val="32"/>
              </w:rPr>
            </w:pPr>
          </w:p>
        </w:tc>
      </w:tr>
      <w:tr w14:paraId="5AD33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0BE8530">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36</w:t>
            </w:r>
          </w:p>
        </w:tc>
        <w:tc>
          <w:tcPr>
            <w:tcW w:w="8820" w:type="dxa"/>
            <w:noWrap w:val="0"/>
            <w:vAlign w:val="top"/>
          </w:tcPr>
          <w:p w14:paraId="3C1DD1C3">
            <w:pPr>
              <w:spacing w:line="640" w:lineRule="exact"/>
              <w:rPr>
                <w:rFonts w:ascii="宋体" w:hAnsi="宋体" w:cs="宋体"/>
                <w:color w:val="2B2B2B"/>
                <w:kern w:val="0"/>
                <w:szCs w:val="21"/>
              </w:rPr>
            </w:pPr>
            <w:r>
              <w:rPr>
                <w:rFonts w:hint="eastAsia" w:ascii="宋体" w:hAnsi="宋体" w:cs="宋体"/>
                <w:color w:val="2B2B2B"/>
                <w:kern w:val="0"/>
                <w:szCs w:val="21"/>
              </w:rPr>
              <w:t>规范和引导科研院所、相关行业协会和中介服务机构开展绿色建筑技术研发、前期咨询、后期检测等各方面的专业服务。</w:t>
            </w:r>
          </w:p>
        </w:tc>
        <w:tc>
          <w:tcPr>
            <w:tcW w:w="1800" w:type="dxa"/>
            <w:noWrap w:val="0"/>
            <w:vAlign w:val="top"/>
          </w:tcPr>
          <w:p w14:paraId="09E70A6A">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市城乡建设局</w:t>
            </w:r>
          </w:p>
        </w:tc>
        <w:tc>
          <w:tcPr>
            <w:tcW w:w="1800" w:type="dxa"/>
            <w:noWrap w:val="0"/>
            <w:vAlign w:val="top"/>
          </w:tcPr>
          <w:p w14:paraId="480F939B">
            <w:pPr>
              <w:spacing w:line="640" w:lineRule="exact"/>
              <w:rPr>
                <w:rFonts w:hint="eastAsia" w:ascii="宋体" w:hAnsi="宋体" w:cs="宋体"/>
                <w:color w:val="2B2B2B"/>
                <w:kern w:val="0"/>
                <w:szCs w:val="21"/>
              </w:rPr>
            </w:pPr>
          </w:p>
        </w:tc>
        <w:tc>
          <w:tcPr>
            <w:tcW w:w="1342" w:type="dxa"/>
            <w:noWrap w:val="0"/>
            <w:vAlign w:val="top"/>
          </w:tcPr>
          <w:p w14:paraId="25EBF302">
            <w:pPr>
              <w:spacing w:line="640" w:lineRule="exact"/>
              <w:jc w:val="center"/>
              <w:rPr>
                <w:rFonts w:hint="eastAsia" w:ascii="宋体" w:hAnsi="宋体" w:cs="宋体"/>
                <w:color w:val="2B2B2B"/>
                <w:kern w:val="0"/>
                <w:szCs w:val="21"/>
              </w:rPr>
            </w:pPr>
          </w:p>
        </w:tc>
      </w:tr>
      <w:tr w14:paraId="2BE2F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37E14FE">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37</w:t>
            </w:r>
          </w:p>
        </w:tc>
        <w:tc>
          <w:tcPr>
            <w:tcW w:w="8820" w:type="dxa"/>
            <w:noWrap w:val="0"/>
            <w:vAlign w:val="top"/>
          </w:tcPr>
          <w:p w14:paraId="45B2C6F2">
            <w:pPr>
              <w:spacing w:line="640" w:lineRule="exact"/>
              <w:rPr>
                <w:rFonts w:hint="eastAsia" w:ascii="宋体" w:hAnsi="宋体" w:cs="宋体"/>
                <w:color w:val="2B2B2B"/>
                <w:kern w:val="0"/>
                <w:szCs w:val="21"/>
              </w:rPr>
            </w:pPr>
            <w:r>
              <w:rPr>
                <w:rFonts w:hint="eastAsia" w:ascii="宋体" w:hAnsi="宋体" w:cs="宋体"/>
                <w:color w:val="2B2B2B"/>
                <w:kern w:val="0"/>
                <w:szCs w:val="21"/>
              </w:rPr>
              <w:t>加强建筑规划、设计、施工、评价、运行等人员的培训，将绿色建筑知识作为相关专业工程师继续教育培训的重要内容。组织规划设计单位、人员开展绿色建筑规划与设计竞赛活动。</w:t>
            </w:r>
          </w:p>
        </w:tc>
        <w:tc>
          <w:tcPr>
            <w:tcW w:w="1800" w:type="dxa"/>
            <w:noWrap w:val="0"/>
            <w:vAlign w:val="center"/>
          </w:tcPr>
          <w:p w14:paraId="5BE0514A">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市城乡建设局</w:t>
            </w:r>
          </w:p>
        </w:tc>
        <w:tc>
          <w:tcPr>
            <w:tcW w:w="1800" w:type="dxa"/>
            <w:noWrap w:val="0"/>
            <w:vAlign w:val="center"/>
          </w:tcPr>
          <w:p w14:paraId="219B34AD">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市人社局</w:t>
            </w:r>
          </w:p>
        </w:tc>
        <w:tc>
          <w:tcPr>
            <w:tcW w:w="1342" w:type="dxa"/>
            <w:noWrap w:val="0"/>
            <w:vAlign w:val="top"/>
          </w:tcPr>
          <w:p w14:paraId="5E94A60D">
            <w:pPr>
              <w:spacing w:line="640" w:lineRule="exact"/>
              <w:jc w:val="center"/>
              <w:rPr>
                <w:rFonts w:hint="eastAsia" w:ascii="宋体" w:hAnsi="宋体"/>
                <w:b/>
                <w:sz w:val="32"/>
                <w:szCs w:val="32"/>
              </w:rPr>
            </w:pPr>
          </w:p>
        </w:tc>
      </w:tr>
      <w:tr w14:paraId="2FB43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7400A92">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38</w:t>
            </w:r>
          </w:p>
        </w:tc>
        <w:tc>
          <w:tcPr>
            <w:tcW w:w="8820" w:type="dxa"/>
            <w:noWrap w:val="0"/>
            <w:vAlign w:val="top"/>
          </w:tcPr>
          <w:p w14:paraId="665A0E5D">
            <w:pPr>
              <w:spacing w:line="640" w:lineRule="exact"/>
              <w:rPr>
                <w:rFonts w:hint="eastAsia" w:ascii="宋体" w:hAnsi="宋体" w:cs="宋体"/>
                <w:color w:val="2B2B2B"/>
                <w:kern w:val="0"/>
                <w:szCs w:val="21"/>
              </w:rPr>
            </w:pPr>
            <w:r>
              <w:rPr>
                <w:rFonts w:hint="eastAsia" w:ascii="宋体" w:hAnsi="宋体" w:cs="宋体"/>
                <w:color w:val="2B2B2B"/>
                <w:kern w:val="0"/>
                <w:szCs w:val="21"/>
              </w:rPr>
              <w:t>广泛开展绿色建筑技术、产品交流与合作，借鉴先进地区经验。鼓励高等院校开设绿色建筑相关课程，加强相关学科建设，培养人才队伍。</w:t>
            </w:r>
          </w:p>
        </w:tc>
        <w:tc>
          <w:tcPr>
            <w:tcW w:w="1800" w:type="dxa"/>
            <w:noWrap w:val="0"/>
            <w:vAlign w:val="center"/>
          </w:tcPr>
          <w:p w14:paraId="46020F0F">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市城乡建设局</w:t>
            </w:r>
          </w:p>
          <w:p w14:paraId="25856DE7">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市人社局</w:t>
            </w:r>
          </w:p>
        </w:tc>
        <w:tc>
          <w:tcPr>
            <w:tcW w:w="1800" w:type="dxa"/>
            <w:noWrap w:val="0"/>
            <w:vAlign w:val="top"/>
          </w:tcPr>
          <w:p w14:paraId="14E36290">
            <w:pPr>
              <w:widowControl/>
              <w:spacing w:line="640" w:lineRule="exact"/>
              <w:jc w:val="left"/>
              <w:rPr>
                <w:rFonts w:hint="eastAsia" w:ascii="宋体" w:hAnsi="宋体" w:cs="宋体"/>
                <w:color w:val="2B2B2B"/>
                <w:kern w:val="0"/>
                <w:szCs w:val="21"/>
              </w:rPr>
            </w:pPr>
          </w:p>
        </w:tc>
        <w:tc>
          <w:tcPr>
            <w:tcW w:w="1342" w:type="dxa"/>
            <w:noWrap w:val="0"/>
            <w:vAlign w:val="top"/>
          </w:tcPr>
          <w:p w14:paraId="43F095B6">
            <w:pPr>
              <w:spacing w:line="640" w:lineRule="exact"/>
              <w:jc w:val="center"/>
              <w:rPr>
                <w:rFonts w:hint="eastAsia" w:ascii="宋体" w:hAnsi="宋体"/>
                <w:b/>
                <w:sz w:val="32"/>
                <w:szCs w:val="32"/>
              </w:rPr>
            </w:pPr>
          </w:p>
        </w:tc>
      </w:tr>
      <w:tr w14:paraId="29F1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78D23E6">
            <w:pPr>
              <w:widowControl/>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39</w:t>
            </w:r>
          </w:p>
        </w:tc>
        <w:tc>
          <w:tcPr>
            <w:tcW w:w="8820" w:type="dxa"/>
            <w:noWrap w:val="0"/>
            <w:vAlign w:val="top"/>
          </w:tcPr>
          <w:p w14:paraId="0FAFE94A">
            <w:pPr>
              <w:spacing w:line="640" w:lineRule="exact"/>
              <w:rPr>
                <w:rFonts w:hint="eastAsia" w:ascii="宋体" w:hAnsi="宋体" w:cs="宋体"/>
                <w:color w:val="2B2B2B"/>
                <w:kern w:val="0"/>
                <w:szCs w:val="21"/>
              </w:rPr>
            </w:pPr>
            <w:r>
              <w:rPr>
                <w:rFonts w:hint="eastAsia" w:ascii="宋体" w:hAnsi="宋体" w:cs="宋体"/>
                <w:color w:val="2B2B2B"/>
                <w:kern w:val="0"/>
                <w:szCs w:val="21"/>
              </w:rPr>
              <w:t>充分利用广播、电视、报纸、网络等媒体，积极宣传绿色建筑法律法规、政策措施、典型案例、先进经验等。各相关主管部门要将绿色建筑行动作为全省节能宣传周、科技活动周、城市节水宣传周、全省低碳日、世界环境日、世界水日等活动的重要宣传内容，组织开展绿色建筑、节能技术推介活动，普及节约知识，提高公众对绿色建筑和建筑节能产品的认知度。</w:t>
            </w:r>
          </w:p>
        </w:tc>
        <w:tc>
          <w:tcPr>
            <w:tcW w:w="1800" w:type="dxa"/>
            <w:noWrap w:val="0"/>
            <w:vAlign w:val="center"/>
          </w:tcPr>
          <w:p w14:paraId="50DEA96A">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市城乡建设局</w:t>
            </w:r>
          </w:p>
          <w:p w14:paraId="63FC79CE">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市发改委</w:t>
            </w:r>
          </w:p>
          <w:p w14:paraId="4AA79A19">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市科技局</w:t>
            </w:r>
          </w:p>
          <w:p w14:paraId="69542381">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市环保局</w:t>
            </w:r>
          </w:p>
          <w:p w14:paraId="727F035E">
            <w:pPr>
              <w:spacing w:line="640" w:lineRule="exact"/>
              <w:jc w:val="center"/>
              <w:rPr>
                <w:rFonts w:hint="eastAsia" w:ascii="宋体" w:hAnsi="宋体" w:cs="宋体"/>
                <w:color w:val="2B2B2B"/>
                <w:kern w:val="0"/>
                <w:szCs w:val="21"/>
              </w:rPr>
            </w:pPr>
            <w:r>
              <w:rPr>
                <w:rFonts w:hint="eastAsia" w:ascii="宋体" w:hAnsi="宋体" w:cs="宋体"/>
                <w:color w:val="2B2B2B"/>
                <w:kern w:val="0"/>
                <w:szCs w:val="21"/>
              </w:rPr>
              <w:t>市水务局</w:t>
            </w:r>
          </w:p>
        </w:tc>
        <w:tc>
          <w:tcPr>
            <w:tcW w:w="1800" w:type="dxa"/>
            <w:noWrap w:val="0"/>
            <w:vAlign w:val="center"/>
          </w:tcPr>
          <w:p w14:paraId="2D8C0AC2">
            <w:pPr>
              <w:spacing w:line="640" w:lineRule="exact"/>
              <w:jc w:val="center"/>
              <w:rPr>
                <w:rFonts w:hint="eastAsia" w:ascii="宋体" w:hAnsi="宋体"/>
                <w:b/>
                <w:sz w:val="32"/>
                <w:szCs w:val="32"/>
              </w:rPr>
            </w:pPr>
            <w:r>
              <w:rPr>
                <w:rFonts w:hint="eastAsia" w:ascii="宋体" w:hAnsi="宋体" w:cs="宋体"/>
                <w:color w:val="2B2B2B"/>
                <w:kern w:val="0"/>
                <w:szCs w:val="21"/>
              </w:rPr>
              <w:t>市文广新局</w:t>
            </w:r>
          </w:p>
        </w:tc>
        <w:tc>
          <w:tcPr>
            <w:tcW w:w="1342" w:type="dxa"/>
            <w:noWrap w:val="0"/>
            <w:vAlign w:val="top"/>
          </w:tcPr>
          <w:p w14:paraId="768868D8">
            <w:pPr>
              <w:spacing w:line="640" w:lineRule="exact"/>
              <w:jc w:val="center"/>
              <w:rPr>
                <w:rFonts w:hint="eastAsia" w:ascii="宋体" w:hAnsi="宋体"/>
                <w:b/>
                <w:sz w:val="32"/>
                <w:szCs w:val="32"/>
              </w:rPr>
            </w:pPr>
          </w:p>
        </w:tc>
      </w:tr>
    </w:tbl>
    <w:p w14:paraId="4A558386">
      <w:pPr>
        <w:spacing w:line="640" w:lineRule="exact"/>
        <w:rPr>
          <w:rFonts w:hint="eastAsia"/>
        </w:rPr>
      </w:pPr>
      <w:r>
        <w:rPr>
          <w:rFonts w:hint="eastAsia"/>
        </w:rPr>
        <w:t>注：各县（市）政府、市经开区根据所属部门职能，分解落实辖区内绿色建筑推广任务。</w:t>
      </w:r>
    </w:p>
    <w:p w14:paraId="11595906">
      <w:pPr>
        <w:spacing w:line="640" w:lineRule="exact"/>
        <w:rPr>
          <w:rFonts w:hint="eastAsia"/>
        </w:rPr>
      </w:pPr>
    </w:p>
    <w:p w14:paraId="5D884445"/>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NDM3NmRiNWIyNWZmMDkxNzA0ZTUxNDhmMTA1MjgifQ=="/>
  </w:docVars>
  <w:rsids>
    <w:rsidRoot w:val="44C41440"/>
    <w:rsid w:val="44C41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2025-09-11T03:01:00Z</dcterms:created>
  <dc:creator>闫姣ෆ</dc:creator>
  <cp:lastModifiedBy>闫姣ෆ</cp:lastModifiedBy>
  <dcterms:modified xsi:type="dcterms:W3CDTF">2025-09-11T03:02:17Z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92BD741EFD224F5F8C5982E0EC354206_11</vt:lpwstr>
  </property>
</Properties>
</file>