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664D53">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auto"/>
          <w:sz w:val="32"/>
          <w:szCs w:val="32"/>
          <w:lang w:val="en-US" w:eastAsia="zh-CN"/>
        </w:rPr>
      </w:pPr>
      <w:bookmarkStart w:id="0" w:name="_GoBack"/>
      <w:bookmarkEnd w:id="0"/>
      <w:r>
        <w:rPr>
          <w:rFonts w:hint="eastAsia" w:ascii="黑体" w:hAnsi="黑体" w:eastAsia="黑体" w:cs="黑体"/>
          <w:color w:val="auto"/>
          <w:sz w:val="32"/>
          <w:szCs w:val="32"/>
          <w:lang w:val="en-US" w:eastAsia="zh-CN"/>
        </w:rPr>
        <w:t>附件：1</w:t>
      </w:r>
    </w:p>
    <w:p w14:paraId="7C4D9134">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auto"/>
          <w:sz w:val="32"/>
          <w:szCs w:val="32"/>
          <w:lang w:val="en-US" w:eastAsia="zh-CN"/>
        </w:rPr>
      </w:pPr>
    </w:p>
    <w:p w14:paraId="2CF9A95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i w:val="0"/>
          <w:iCs w:val="0"/>
          <w:color w:val="auto"/>
          <w:sz w:val="44"/>
          <w:szCs w:val="44"/>
          <w:lang w:val="en-US" w:eastAsia="zh-CN"/>
        </w:rPr>
      </w:pPr>
      <w:r>
        <w:rPr>
          <w:rFonts w:hint="eastAsia" w:ascii="仿宋_GB2312" w:hAnsi="仿宋_GB2312" w:eastAsia="仿宋_GB2312" w:cs="仿宋_GB2312"/>
          <w:sz w:val="32"/>
          <w:szCs w:val="32"/>
          <w:lang w:val="en-US" w:eastAsia="zh-CN"/>
        </w:rPr>
        <w:t xml:space="preserve">    </w:t>
      </w:r>
      <w:r>
        <w:rPr>
          <w:rFonts w:hint="eastAsia" w:ascii="方正小标宋简体" w:hAnsi="方正小标宋简体" w:eastAsia="方正小标宋简体" w:cs="方正小标宋简体"/>
          <w:b w:val="0"/>
          <w:bCs w:val="0"/>
          <w:i w:val="0"/>
          <w:iCs w:val="0"/>
          <w:color w:val="auto"/>
          <w:sz w:val="44"/>
          <w:szCs w:val="44"/>
          <w:lang w:val="en-US" w:eastAsia="zh-CN"/>
        </w:rPr>
        <w:t>牡丹江市城区（含海林市）户籍居民</w:t>
      </w:r>
    </w:p>
    <w:p w14:paraId="58244AD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i w:val="0"/>
          <w:iCs w:val="0"/>
          <w:color w:val="auto"/>
          <w:sz w:val="44"/>
          <w:szCs w:val="44"/>
          <w:lang w:val="en-US" w:eastAsia="zh-CN"/>
        </w:rPr>
      </w:pPr>
      <w:r>
        <w:rPr>
          <w:rFonts w:hint="eastAsia" w:ascii="方正小标宋简体" w:hAnsi="方正小标宋简体" w:eastAsia="方正小标宋简体" w:cs="方正小标宋简体"/>
          <w:b w:val="0"/>
          <w:bCs w:val="0"/>
          <w:i w:val="0"/>
          <w:iCs w:val="0"/>
          <w:color w:val="auto"/>
          <w:sz w:val="44"/>
          <w:szCs w:val="44"/>
          <w:lang w:val="en-US" w:eastAsia="zh-CN"/>
        </w:rPr>
        <w:t>殡葬服务费用减免实施办法（2026年修订）</w:t>
      </w:r>
    </w:p>
    <w:p w14:paraId="1B404F1F">
      <w:pPr>
        <w:pStyle w:val="8"/>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i w:val="0"/>
          <w:iCs w:val="0"/>
          <w:color w:val="auto"/>
          <w:sz w:val="44"/>
          <w:szCs w:val="44"/>
          <w:lang w:val="en-US" w:eastAsia="zh-CN"/>
        </w:rPr>
      </w:pPr>
      <w:r>
        <w:rPr>
          <w:rFonts w:hint="eastAsia" w:ascii="楷体_GB2312" w:hAnsi="楷体_GB2312" w:eastAsia="楷体_GB2312" w:cs="楷体_GB2312"/>
          <w:color w:val="auto"/>
          <w:spacing w:val="7"/>
          <w:sz w:val="32"/>
          <w:szCs w:val="32"/>
          <w:lang w:val="en-US" w:eastAsia="zh-CN"/>
        </w:rPr>
        <w:t>（征求意见稿）</w:t>
      </w:r>
    </w:p>
    <w:p w14:paraId="751EC18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b w:val="0"/>
          <w:bCs w:val="0"/>
          <w:color w:val="auto"/>
          <w:sz w:val="44"/>
          <w:szCs w:val="44"/>
          <w:lang w:val="en-US" w:eastAsia="zh-CN"/>
        </w:rPr>
      </w:pPr>
    </w:p>
    <w:p w14:paraId="3468D4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为深化殡葬改革，进一步推动殡葬惠民均等化、普惠化，切实为群众办实事，减轻城乡居民丧葬负担，现结合牡丹江市城区（含海林市）实际，制定本办法。</w:t>
      </w:r>
    </w:p>
    <w:p w14:paraId="3235DE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一、减免对象</w:t>
      </w:r>
    </w:p>
    <w:p w14:paraId="68B294EE">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auto"/>
          <w:sz w:val="32"/>
          <w:szCs w:val="32"/>
          <w:lang w:val="en-US" w:eastAsia="zh-CN"/>
        </w:rPr>
      </w:pPr>
      <w:r>
        <w:rPr>
          <w:rFonts w:hint="eastAsia" w:ascii="楷体" w:hAnsi="楷体" w:eastAsia="楷体" w:cs="楷体"/>
          <w:b/>
          <w:bCs/>
          <w:color w:val="auto"/>
          <w:sz w:val="32"/>
          <w:szCs w:val="32"/>
          <w:lang w:val="en-US" w:eastAsia="zh-CN"/>
        </w:rPr>
        <w:t xml:space="preserve"> </w:t>
      </w:r>
      <w:r>
        <w:rPr>
          <w:rFonts w:hint="eastAsia" w:ascii="CESI楷体-GB2312" w:hAnsi="CESI楷体-GB2312" w:eastAsia="CESI楷体-GB2312" w:cs="CESI楷体-GB2312"/>
          <w:b/>
          <w:bCs/>
          <w:color w:val="auto"/>
          <w:sz w:val="32"/>
          <w:szCs w:val="32"/>
          <w:lang w:val="en-US" w:eastAsia="zh-CN"/>
        </w:rPr>
        <w:t xml:space="preserve">   （一）一般对象：</w:t>
      </w:r>
      <w:r>
        <w:rPr>
          <w:rFonts w:hint="default" w:ascii="Times New Roman" w:hAnsi="Times New Roman" w:eastAsia="仿宋_GB2312" w:cs="Times New Roman"/>
          <w:color w:val="auto"/>
          <w:sz w:val="32"/>
          <w:szCs w:val="32"/>
          <w:lang w:val="en-US" w:eastAsia="zh-CN"/>
        </w:rPr>
        <w:t>具有</w:t>
      </w:r>
      <w:r>
        <w:rPr>
          <w:rFonts w:hint="eastAsia" w:ascii="Times New Roman" w:hAnsi="Times New Roman" w:eastAsia="仿宋_GB2312" w:cs="Times New Roman"/>
          <w:color w:val="auto"/>
          <w:sz w:val="32"/>
          <w:szCs w:val="32"/>
          <w:lang w:val="en-US" w:eastAsia="zh-CN"/>
        </w:rPr>
        <w:t>牡丹江</w:t>
      </w:r>
      <w:r>
        <w:rPr>
          <w:rFonts w:hint="default" w:ascii="Times New Roman" w:hAnsi="Times New Roman" w:eastAsia="仿宋_GB2312" w:cs="Times New Roman"/>
          <w:color w:val="auto"/>
          <w:sz w:val="32"/>
          <w:szCs w:val="32"/>
          <w:lang w:val="en-US" w:eastAsia="zh-CN"/>
        </w:rPr>
        <w:t>市</w:t>
      </w:r>
      <w:r>
        <w:rPr>
          <w:rFonts w:hint="eastAsia" w:ascii="Times New Roman" w:hAnsi="Times New Roman" w:eastAsia="仿宋_GB2312" w:cs="Times New Roman"/>
          <w:color w:val="auto"/>
          <w:sz w:val="32"/>
          <w:szCs w:val="32"/>
          <w:lang w:val="en-US" w:eastAsia="zh-CN"/>
        </w:rPr>
        <w:t>城区（含海林市）</w:t>
      </w:r>
      <w:r>
        <w:rPr>
          <w:rFonts w:hint="default" w:ascii="Times New Roman" w:hAnsi="Times New Roman" w:eastAsia="仿宋_GB2312" w:cs="Times New Roman"/>
          <w:color w:val="auto"/>
          <w:sz w:val="32"/>
          <w:szCs w:val="32"/>
          <w:lang w:val="en-US" w:eastAsia="zh-CN"/>
        </w:rPr>
        <w:t>户籍且无丧葬补助</w:t>
      </w:r>
      <w:r>
        <w:rPr>
          <w:rFonts w:hint="eastAsia" w:ascii="Times New Roman" w:hAnsi="Times New Roman" w:eastAsia="仿宋_GB2312" w:cs="Times New Roman"/>
          <w:color w:val="auto"/>
          <w:sz w:val="32"/>
          <w:szCs w:val="32"/>
          <w:lang w:val="en-US" w:eastAsia="zh-CN"/>
        </w:rPr>
        <w:t>的</w:t>
      </w:r>
      <w:r>
        <w:rPr>
          <w:rFonts w:hint="default" w:ascii="Times New Roman" w:hAnsi="Times New Roman" w:eastAsia="仿宋_GB2312" w:cs="Times New Roman"/>
          <w:color w:val="auto"/>
          <w:sz w:val="32"/>
          <w:szCs w:val="32"/>
          <w:lang w:val="en-US" w:eastAsia="zh-CN"/>
        </w:rPr>
        <w:t>城乡居民。</w:t>
      </w:r>
    </w:p>
    <w:p w14:paraId="567EC67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b/>
          <w:bCs/>
          <w:color w:val="auto"/>
          <w:sz w:val="32"/>
          <w:szCs w:val="32"/>
          <w:lang w:val="en-US" w:eastAsia="zh-CN"/>
        </w:rPr>
        <w:t>（二）保障对象：</w:t>
      </w:r>
      <w:r>
        <w:rPr>
          <w:rFonts w:hint="eastAsia" w:ascii="仿宋_GB2312" w:hAnsi="仿宋_GB2312" w:eastAsia="仿宋_GB2312" w:cs="仿宋_GB2312"/>
          <w:color w:val="auto"/>
          <w:sz w:val="32"/>
          <w:szCs w:val="32"/>
          <w:lang w:val="en-US" w:eastAsia="zh-CN"/>
        </w:rPr>
        <w:t>具</w:t>
      </w:r>
      <w:r>
        <w:rPr>
          <w:rFonts w:hint="default" w:ascii="仿宋_GB2312" w:hAnsi="仿宋_GB2312" w:eastAsia="仿宋_GB2312" w:cs="仿宋_GB2312"/>
          <w:color w:val="auto"/>
          <w:sz w:val="32"/>
          <w:szCs w:val="32"/>
          <w:lang w:val="en-US" w:eastAsia="zh-CN"/>
        </w:rPr>
        <w:t>有牡丹江市城区</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含海林市</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户籍的城乡低保对象</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特困供养对象</w:t>
      </w:r>
      <w:r>
        <w:rPr>
          <w:rFonts w:hint="eastAsia" w:ascii="仿宋_GB2312" w:hAnsi="仿宋_GB2312" w:eastAsia="仿宋_GB2312" w:cs="仿宋_GB2312"/>
          <w:color w:val="auto"/>
          <w:sz w:val="32"/>
          <w:szCs w:val="32"/>
          <w:lang w:val="en-US" w:eastAsia="zh-CN"/>
        </w:rPr>
        <w:t>、失独老人、因其他意外情况导致家庭陷</w:t>
      </w:r>
      <w:r>
        <w:rPr>
          <w:rFonts w:hint="eastAsia" w:ascii="仿宋_GB2312" w:hAnsi="仿宋_GB2312" w:eastAsia="仿宋_GB2312" w:cs="仿宋_GB2312"/>
          <w:color w:val="auto"/>
          <w:sz w:val="32"/>
          <w:szCs w:val="32"/>
          <w:highlight w:val="none"/>
          <w:lang w:val="en-US" w:eastAsia="zh-CN"/>
        </w:rPr>
        <w:t>入临时困境人员、</w:t>
      </w:r>
      <w:r>
        <w:rPr>
          <w:rFonts w:hint="eastAsia" w:ascii="仿宋_GB2312" w:hAnsi="仿宋_GB2312" w:eastAsia="仿宋_GB2312" w:cs="仿宋_GB2312"/>
          <w:color w:val="auto"/>
          <w:sz w:val="32"/>
          <w:szCs w:val="32"/>
          <w:lang w:val="en-US" w:eastAsia="zh-CN"/>
        </w:rPr>
        <w:t>农村居民、出生后</w:t>
      </w:r>
      <w:r>
        <w:rPr>
          <w:rFonts w:hint="eastAsia" w:ascii="仿宋_GB2312" w:hAnsi="仿宋_GB2312" w:eastAsia="仿宋_GB2312" w:cs="仿宋_GB2312"/>
          <w:color w:val="auto"/>
          <w:sz w:val="32"/>
          <w:szCs w:val="32"/>
          <w:highlight w:val="none"/>
          <w:lang w:val="en-US" w:eastAsia="zh-CN"/>
        </w:rPr>
        <w:t>尚未登记户口的婴儿、</w:t>
      </w:r>
      <w:r>
        <w:rPr>
          <w:rFonts w:hint="eastAsia" w:ascii="仿宋_GB2312" w:hAnsi="仿宋_GB2312" w:eastAsia="仿宋_GB2312" w:cs="仿宋_GB2312"/>
          <w:b w:val="0"/>
          <w:bCs w:val="0"/>
          <w:color w:val="auto"/>
          <w:sz w:val="32"/>
          <w:szCs w:val="32"/>
          <w:lang w:val="en-US" w:eastAsia="zh-CN"/>
        </w:rPr>
        <w:t>公办福利机构抚养的孤儿（事实无人抚养儿童）、集中供养的特困供养对象、救助机构救助的流浪乞讨人员</w:t>
      </w:r>
      <w:r>
        <w:rPr>
          <w:rFonts w:hint="eastAsia" w:ascii="仿宋_GB2312" w:hAnsi="仿宋_GB2312" w:eastAsia="仿宋_GB2312" w:cs="仿宋_GB2312"/>
          <w:color w:val="auto"/>
          <w:sz w:val="32"/>
          <w:szCs w:val="32"/>
          <w:lang w:val="en-US" w:eastAsia="zh-CN"/>
        </w:rPr>
        <w:t>，以及政府需要保障的其他对象。</w:t>
      </w:r>
    </w:p>
    <w:p w14:paraId="2DAAB8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CESI楷体-GB2312" w:hAnsi="CESI楷体-GB2312" w:eastAsia="CESI楷体-GB2312" w:cs="CESI楷体-GB2312"/>
          <w:b/>
          <w:bCs/>
          <w:color w:val="auto"/>
          <w:sz w:val="32"/>
          <w:szCs w:val="32"/>
          <w:lang w:val="en-US" w:eastAsia="zh-CN"/>
        </w:rPr>
        <w:t>（三）褒奖</w:t>
      </w:r>
      <w:r>
        <w:rPr>
          <w:rFonts w:hint="eastAsia" w:ascii="仿宋_GB2312" w:hAnsi="仿宋_GB2312" w:eastAsia="仿宋_GB2312" w:cs="仿宋_GB2312"/>
          <w:b/>
          <w:bCs/>
          <w:color w:val="auto"/>
          <w:sz w:val="32"/>
          <w:szCs w:val="32"/>
          <w:lang w:val="en-US" w:eastAsia="zh-CN"/>
        </w:rPr>
        <w:t>对象：</w:t>
      </w:r>
      <w:r>
        <w:rPr>
          <w:rFonts w:hint="eastAsia" w:ascii="仿宋_GB2312" w:hAnsi="仿宋_GB2312" w:eastAsia="仿宋_GB2312" w:cs="仿宋_GB2312"/>
          <w:color w:val="auto"/>
          <w:sz w:val="32"/>
          <w:szCs w:val="32"/>
          <w:lang w:val="en-US" w:eastAsia="zh-CN"/>
        </w:rPr>
        <w:t>具有牡丹江市城区（含海林市）户籍的离休干部、百岁以上老人、退役军人、驻牡部队（武警）现役官兵、优抚对象、见义勇为人员、见义勇为牺牲人员、因公牺牲人员、烈士以及政府需要褒奖的其他对象。</w:t>
      </w:r>
    </w:p>
    <w:p w14:paraId="6208D3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color w:val="auto"/>
          <w:sz w:val="32"/>
          <w:szCs w:val="32"/>
          <w:highlight w:val="none"/>
          <w:lang w:val="en-US" w:eastAsia="zh-CN"/>
        </w:rPr>
      </w:pPr>
      <w:r>
        <w:rPr>
          <w:rFonts w:hint="eastAsia" w:ascii="CESI楷体-GB2312" w:hAnsi="CESI楷体-GB2312" w:eastAsia="CESI楷体-GB2312" w:cs="CESI楷体-GB2312"/>
          <w:b/>
          <w:bCs/>
          <w:color w:val="auto"/>
          <w:sz w:val="32"/>
          <w:szCs w:val="32"/>
          <w:lang w:val="en-US" w:eastAsia="zh-CN"/>
        </w:rPr>
        <w:t>（四）差额减免对象：</w:t>
      </w:r>
      <w:r>
        <w:rPr>
          <w:rFonts w:hint="eastAsia" w:ascii="Times New Roman" w:hAnsi="Times New Roman" w:eastAsia="仿宋_GB2312" w:cs="Times New Roman"/>
          <w:color w:val="auto"/>
          <w:sz w:val="32"/>
          <w:szCs w:val="32"/>
          <w:lang w:val="en-US" w:eastAsia="zh-CN"/>
        </w:rPr>
        <w:t>具有牡</w:t>
      </w:r>
      <w:r>
        <w:rPr>
          <w:rFonts w:hint="eastAsia" w:ascii="Times New Roman" w:hAnsi="Times New Roman" w:eastAsia="仿宋_GB2312" w:cs="Times New Roman"/>
          <w:color w:val="auto"/>
          <w:sz w:val="32"/>
          <w:szCs w:val="32"/>
          <w:highlight w:val="none"/>
          <w:lang w:val="en-US" w:eastAsia="zh-CN"/>
        </w:rPr>
        <w:t>丹江市城区（含海林市）户籍且参加城乡居民基本养老保险人员身故后，参保人家属应按牡丹江市城区（含海林市）城乡居民养老保险政策领取丧葬补助金。丧葬补助金未达到殡葬四项基本服务费用最低标准的，实行差额减免。</w:t>
      </w:r>
    </w:p>
    <w:p w14:paraId="5458D8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二、减免项目和标准</w:t>
      </w:r>
    </w:p>
    <w:p w14:paraId="273B7C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减免对象逝世后，在市直殡葬服务单位办理丧葬事宜，遗体实施火化的，按以下项目、标准减免殡葬服务费用。</w:t>
      </w:r>
    </w:p>
    <w:p w14:paraId="33B0E8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（一）一般对象和保障对象</w:t>
      </w:r>
    </w:p>
    <w:p w14:paraId="73A5DA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减免</w:t>
      </w:r>
      <w:r>
        <w:rPr>
          <w:rFonts w:hint="default" w:ascii="Times New Roman" w:hAnsi="Times New Roman" w:eastAsia="仿宋_GB2312" w:cs="Times New Roman"/>
          <w:color w:val="auto"/>
          <w:sz w:val="32"/>
          <w:szCs w:val="32"/>
          <w:highlight w:val="none"/>
          <w:lang w:val="en-US" w:eastAsia="zh-CN"/>
        </w:rPr>
        <w:t>项目</w:t>
      </w:r>
      <w:r>
        <w:rPr>
          <w:rFonts w:hint="eastAsia" w:ascii="Times New Roman" w:hAnsi="Times New Roman" w:eastAsia="仿宋_GB2312" w:cs="Times New Roman"/>
          <w:color w:val="auto"/>
          <w:sz w:val="32"/>
          <w:szCs w:val="32"/>
          <w:highlight w:val="none"/>
          <w:lang w:val="en-US" w:eastAsia="zh-CN"/>
        </w:rPr>
        <w:t>为最低标准的殡葬四项基本服务项目，即最低标准的遗体接运、遗体存放（三天普通冰柜）、遗体火化、骨灰寄存（一年），其减免标准按照发改部门给予相应市直殡葬服务单位的收费批复执行。</w:t>
      </w:r>
    </w:p>
    <w:p w14:paraId="164F4D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（二）褒奖对象</w:t>
      </w:r>
    </w:p>
    <w:p w14:paraId="2FF9DB9C">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退役军人由</w:t>
      </w:r>
      <w:r>
        <w:rPr>
          <w:rFonts w:hint="eastAsia" w:ascii="Times New Roman" w:hAnsi="Times New Roman" w:eastAsia="仿宋_GB2312" w:cs="Times New Roman"/>
          <w:color w:val="auto"/>
          <w:sz w:val="32"/>
          <w:szCs w:val="32"/>
          <w:highlight w:val="none"/>
          <w:lang w:val="en-US" w:eastAsia="zh-CN"/>
        </w:rPr>
        <w:t>市直殡葬服务单位</w:t>
      </w:r>
      <w:r>
        <w:rPr>
          <w:rFonts w:hint="eastAsia" w:ascii="仿宋_GB2312" w:hAnsi="仿宋_GB2312" w:eastAsia="仿宋_GB2312" w:cs="仿宋_GB2312"/>
          <w:color w:val="auto"/>
          <w:sz w:val="32"/>
          <w:szCs w:val="32"/>
          <w:highlight w:val="none"/>
          <w:lang w:val="en-US" w:eastAsia="zh-CN"/>
        </w:rPr>
        <w:t>免费租用两对花圈。</w:t>
      </w:r>
    </w:p>
    <w:p w14:paraId="01C1F1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离休干部、百岁以上老人、服役期间荣立二等功或战时荣立三等功以上的退役军人、驻牡部队（武警）现役官兵、优抚对象、见义勇为人员在享受保障对象相同减免项目和标准的基础上由</w:t>
      </w:r>
      <w:r>
        <w:rPr>
          <w:rFonts w:hint="eastAsia" w:ascii="Times New Roman" w:hAnsi="Times New Roman" w:eastAsia="仿宋_GB2312" w:cs="Times New Roman"/>
          <w:color w:val="auto"/>
          <w:sz w:val="32"/>
          <w:szCs w:val="32"/>
          <w:highlight w:val="none"/>
          <w:lang w:val="en-US" w:eastAsia="zh-CN"/>
        </w:rPr>
        <w:t>市直殡葬服务单位</w:t>
      </w:r>
      <w:r>
        <w:rPr>
          <w:rFonts w:hint="eastAsia" w:ascii="仿宋_GB2312" w:hAnsi="仿宋_GB2312" w:eastAsia="仿宋_GB2312" w:cs="仿宋_GB2312"/>
          <w:color w:val="auto"/>
          <w:sz w:val="32"/>
          <w:szCs w:val="32"/>
          <w:highlight w:val="none"/>
          <w:lang w:val="en-US" w:eastAsia="zh-CN"/>
        </w:rPr>
        <w:t>免费租用两对花圈。</w:t>
      </w:r>
    </w:p>
    <w:p w14:paraId="0202A3DE">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见义勇为牺牲人员、因公牺牲人员、烈士，在不涉及相应法律责任的情况下，免除殡仪服务费用（生前单位承担的费用、殡葬用品费用不在免除之列）。</w:t>
      </w:r>
    </w:p>
    <w:p w14:paraId="6AAE1D49">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（三）差额减免对象</w:t>
      </w:r>
    </w:p>
    <w:p w14:paraId="00F1DB5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color w:val="auto"/>
          <w:highlight w:val="none"/>
          <w:lang w:val="en-US" w:eastAsia="zh-CN"/>
        </w:rPr>
      </w:pPr>
      <w:r>
        <w:rPr>
          <w:rFonts w:hint="eastAsia" w:ascii="Times New Roman" w:hAnsi="Times New Roman" w:eastAsia="仿宋_GB2312" w:cs="Times New Roman"/>
          <w:color w:val="auto"/>
          <w:sz w:val="32"/>
          <w:szCs w:val="32"/>
          <w:highlight w:val="none"/>
          <w:lang w:val="en-US" w:eastAsia="zh-CN"/>
        </w:rPr>
        <w:t>按照逝者享受的丧葬补助金与最低标准的殡葬四项基本服务项目费用之差为标准，减免相应殡葬服务费用。</w:t>
      </w:r>
    </w:p>
    <w:p w14:paraId="686081A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资格认定</w:t>
      </w:r>
    </w:p>
    <w:p w14:paraId="759C8D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优先通过“黑龙江殡葬管理服务信息系统”</w:t>
      </w:r>
      <w:r>
        <w:rPr>
          <w:rFonts w:hint="eastAsia" w:ascii="仿宋_GB2312" w:hAnsi="仿宋_GB2312" w:eastAsia="仿宋_GB2312" w:cs="仿宋_GB2312"/>
          <w:b w:val="0"/>
          <w:bCs w:val="0"/>
          <w:color w:val="auto"/>
          <w:sz w:val="32"/>
          <w:szCs w:val="32"/>
          <w:highlight w:val="none"/>
          <w:lang w:val="en-US" w:eastAsia="zh-CN"/>
        </w:rPr>
        <w:t>（以下简称系统）进行资格认定，能查询到符合减免政策资格相关证明信息的，可免提交相关证件、证明；如查询不到相应证明信息，可提供纸质材料进行资格认定。</w:t>
      </w:r>
    </w:p>
    <w:p w14:paraId="2833ED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（一）一般对象：</w:t>
      </w:r>
      <w:r>
        <w:rPr>
          <w:rFonts w:hint="eastAsia" w:ascii="仿宋_GB2312" w:hAnsi="仿宋_GB2312" w:eastAsia="仿宋_GB2312" w:cs="仿宋_GB2312"/>
          <w:b w:val="0"/>
          <w:bCs w:val="0"/>
          <w:color w:val="auto"/>
          <w:sz w:val="32"/>
          <w:szCs w:val="32"/>
          <w:lang w:val="en-US" w:eastAsia="zh-CN"/>
        </w:rPr>
        <w:t>通过系统查询个人参保信息，如系统中有对象参保信息视为不符合减免条件，如系统中未发现对象参保信息，则视为符合减免条件。因证件不全或对现场资格认定结果有异议的，丧事承办人需先行支付费用，并在5个工作日内提供有关证明办理退费。</w:t>
      </w:r>
    </w:p>
    <w:p w14:paraId="6896194F">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3"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（二）保障对象：</w:t>
      </w:r>
      <w:r>
        <w:rPr>
          <w:rFonts w:hint="eastAsia" w:ascii="仿宋_GB2312" w:hAnsi="仿宋_GB2312" w:eastAsia="仿宋_GB2312" w:cs="仿宋_GB2312"/>
          <w:b w:val="0"/>
          <w:bCs w:val="0"/>
          <w:color w:val="auto"/>
          <w:sz w:val="32"/>
          <w:szCs w:val="32"/>
          <w:lang w:val="en-US" w:eastAsia="zh-CN"/>
        </w:rPr>
        <w:t>城乡低保、特困供养对象依据低保证、供养证或乡镇（街道）开具的证明予以认定；失独老人依据卫健部门出具的证明或扶助证予以认定；临时困境人员依据乡镇（街道）开具的临时困境家庭证明予以认定；农村居民依据户口簿及村委会证明予</w:t>
      </w:r>
      <w:r>
        <w:rPr>
          <w:rFonts w:hint="eastAsia" w:ascii="仿宋_GB2312" w:hAnsi="仿宋_GB2312" w:eastAsia="仿宋_GB2312" w:cs="仿宋_GB2312"/>
          <w:b w:val="0"/>
          <w:bCs w:val="0"/>
          <w:color w:val="auto"/>
          <w:sz w:val="32"/>
          <w:szCs w:val="32"/>
          <w:highlight w:val="none"/>
          <w:lang w:val="en-US" w:eastAsia="zh-CN"/>
        </w:rPr>
        <w:t>以认定；出生后尚未登记户口的婴儿依据医疗机构开具的居民死亡医学证明予以认定；公办福利机构抚</w:t>
      </w:r>
      <w:r>
        <w:rPr>
          <w:rFonts w:hint="eastAsia" w:ascii="仿宋_GB2312" w:hAnsi="仿宋_GB2312" w:eastAsia="仿宋_GB2312" w:cs="仿宋_GB2312"/>
          <w:b w:val="0"/>
          <w:bCs w:val="0"/>
          <w:color w:val="auto"/>
          <w:sz w:val="32"/>
          <w:szCs w:val="32"/>
          <w:lang w:val="en-US" w:eastAsia="zh-CN"/>
        </w:rPr>
        <w:t>养的孤儿（事实无人抚养儿童）、集中供养的特困供养对象、受助的流浪乞讨人员依据公办福利机构开具的证明予以认定；政府需要保障的其他对象依据政府有关意见予以认定。</w:t>
      </w:r>
    </w:p>
    <w:p w14:paraId="593804AC">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3"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（三）褒奖对象：</w:t>
      </w:r>
      <w:r>
        <w:rPr>
          <w:rFonts w:hint="eastAsia" w:ascii="仿宋_GB2312" w:hAnsi="仿宋_GB2312" w:eastAsia="仿宋_GB2312" w:cs="仿宋_GB2312"/>
          <w:b w:val="0"/>
          <w:bCs w:val="0"/>
          <w:color w:val="auto"/>
          <w:sz w:val="32"/>
          <w:szCs w:val="32"/>
          <w:lang w:val="en-US" w:eastAsia="zh-CN"/>
        </w:rPr>
        <w:t>离休干部依据离休证或老干部局证明予以认定；百岁以上老人依据户口簿或身份证予以认定；</w:t>
      </w:r>
      <w:r>
        <w:rPr>
          <w:rFonts w:hint="eastAsia" w:ascii="仿宋_GB2312" w:hAnsi="仿宋_GB2312" w:eastAsia="仿宋_GB2312" w:cs="仿宋_GB2312"/>
          <w:color w:val="auto"/>
          <w:sz w:val="32"/>
          <w:szCs w:val="32"/>
          <w:lang w:val="en-US" w:eastAsia="zh-CN"/>
        </w:rPr>
        <w:t>退役军人依据退伍证书或退役军人事务管理部门证明予以认定；现役官兵依据有效期内的军（警）官证、士官（军士长）证、义务兵证等有效证件或团以上政治机关开具的证明予以认定；优抚对象依据退役军人事务部门颁发的优待证或证明予以认定；见义勇为人员依据</w:t>
      </w:r>
      <w:r>
        <w:rPr>
          <w:rFonts w:hint="eastAsia" w:ascii="仿宋_GB2312" w:hAnsi="仿宋_GB2312" w:eastAsia="仿宋_GB2312" w:cs="仿宋_GB2312"/>
          <w:color w:val="auto"/>
          <w:sz w:val="32"/>
          <w:szCs w:val="32"/>
          <w:highlight w:val="none"/>
          <w:lang w:val="en-US" w:eastAsia="zh-CN"/>
        </w:rPr>
        <w:t>市委政法委认</w:t>
      </w:r>
      <w:r>
        <w:rPr>
          <w:rFonts w:hint="eastAsia" w:ascii="仿宋_GB2312" w:hAnsi="仿宋_GB2312" w:eastAsia="仿宋_GB2312" w:cs="仿宋_GB2312"/>
          <w:color w:val="auto"/>
          <w:sz w:val="32"/>
          <w:szCs w:val="32"/>
          <w:lang w:val="en-US" w:eastAsia="zh-CN"/>
        </w:rPr>
        <w:t>定颁发的证书、证明予以认定；见义勇为牺牲人员、因公牺牲人员、烈士依据审批部门的批复予以认定；政府需要褒奖的其他对象依据政府有关意见予以认定。</w:t>
      </w:r>
    </w:p>
    <w:p w14:paraId="46633261">
      <w:pPr>
        <w:keepNext w:val="0"/>
        <w:keepLines w:val="0"/>
        <w:pageBreakBefore w:val="0"/>
        <w:widowControl w:val="0"/>
        <w:kinsoku/>
        <w:wordWrap/>
        <w:overflowPunct/>
        <w:topLinePunct w:val="0"/>
        <w:autoSpaceDE/>
        <w:autoSpaceDN/>
        <w:bidi w:val="0"/>
        <w:adjustRightInd/>
        <w:snapToGrid/>
        <w:spacing w:line="560" w:lineRule="exact"/>
        <w:ind w:left="654"/>
        <w:textAlignment w:val="auto"/>
        <w:outlineLvl w:val="0"/>
        <w:rPr>
          <w:rFonts w:hint="eastAsia" w:ascii="黑体" w:hAnsi="黑体" w:eastAsia="黑体" w:cs="黑体"/>
          <w:b w:val="0"/>
          <w:bCs w:val="0"/>
          <w:color w:val="auto"/>
          <w:spacing w:val="6"/>
          <w:sz w:val="32"/>
          <w:szCs w:val="32"/>
          <w:lang w:val="en-US" w:eastAsia="zh-CN"/>
        </w:rPr>
      </w:pPr>
      <w:r>
        <w:rPr>
          <w:rFonts w:hint="eastAsia" w:ascii="黑体" w:hAnsi="黑体" w:eastAsia="黑体" w:cs="黑体"/>
          <w:b w:val="0"/>
          <w:bCs w:val="0"/>
          <w:color w:val="auto"/>
          <w:spacing w:val="6"/>
          <w:sz w:val="32"/>
          <w:szCs w:val="32"/>
          <w:lang w:val="en-US" w:eastAsia="zh-CN"/>
        </w:rPr>
        <w:t>四、办理程序</w:t>
      </w:r>
    </w:p>
    <w:p w14:paraId="3AA8325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CESI楷体-GB2312" w:hAnsi="CESI楷体-GB2312" w:eastAsia="CESI楷体-GB2312" w:cs="CESI楷体-GB2312"/>
          <w:b/>
          <w:bCs/>
          <w:color w:val="auto"/>
          <w:sz w:val="32"/>
          <w:szCs w:val="32"/>
          <w:lang w:val="en-US" w:eastAsia="zh-CN"/>
        </w:rPr>
        <w:t>（一）申请。</w:t>
      </w:r>
      <w:r>
        <w:rPr>
          <w:rFonts w:hint="eastAsia" w:ascii="Times New Roman" w:hAnsi="Times New Roman" w:eastAsia="仿宋_GB2312" w:cs="Times New Roman"/>
          <w:color w:val="auto"/>
          <w:sz w:val="32"/>
          <w:szCs w:val="32"/>
          <w:lang w:val="en-US" w:eastAsia="zh-CN"/>
        </w:rPr>
        <w:t>丧事承办人持本人身份证原件，到办理遗体火化的</w:t>
      </w:r>
      <w:r>
        <w:rPr>
          <w:rFonts w:hint="eastAsia" w:ascii="Times New Roman" w:hAnsi="Times New Roman" w:eastAsia="仿宋_GB2312" w:cs="Times New Roman"/>
          <w:color w:val="auto"/>
          <w:sz w:val="32"/>
          <w:szCs w:val="32"/>
          <w:highlight w:val="none"/>
          <w:lang w:val="en-US" w:eastAsia="zh-CN"/>
        </w:rPr>
        <w:t>市直殡葬服务单位业务办理窗口填写《牡丹江市城区（含海林市）户籍居民殡葬服务费用减免申请表》（以下简称《申请表》），同时提交资格认定相应材料。</w:t>
      </w:r>
    </w:p>
    <w:p w14:paraId="262A2C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CESI楷体-GB2312" w:hAnsi="CESI楷体-GB2312" w:eastAsia="CESI楷体-GB2312" w:cs="CESI楷体-GB2312"/>
          <w:b/>
          <w:bCs/>
          <w:color w:val="auto"/>
          <w:sz w:val="32"/>
          <w:szCs w:val="32"/>
          <w:lang w:val="en-US" w:eastAsia="zh-CN"/>
        </w:rPr>
        <w:t>（二）审核。</w:t>
      </w:r>
      <w:r>
        <w:rPr>
          <w:rFonts w:hint="eastAsia" w:ascii="Times New Roman" w:hAnsi="Times New Roman" w:eastAsia="仿宋_GB2312" w:cs="Times New Roman"/>
          <w:color w:val="auto"/>
          <w:sz w:val="32"/>
          <w:szCs w:val="32"/>
          <w:highlight w:val="none"/>
          <w:lang w:val="en-US" w:eastAsia="zh-CN"/>
        </w:rPr>
        <w:t>市直殡葬服务单位工作人员接到《申请表》后，要对《申请表》内容及所提供的证明材料进行核对。同时，登录“黑龙江殡葬管理服务信息系统</w:t>
      </w:r>
      <w:r>
        <w:rPr>
          <w:rFonts w:hint="eastAsia" w:ascii="仿宋_GB2312" w:hAnsi="仿宋_GB2312" w:eastAsia="仿宋_GB2312" w:cs="仿宋_GB2312"/>
          <w:b w:val="0"/>
          <w:bCs w:val="0"/>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（以下简称“系统”）查询免费对象个人参保信息。</w:t>
      </w:r>
    </w:p>
    <w:p w14:paraId="2E8F9D0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CESI楷体-GB2312" w:hAnsi="CESI楷体-GB2312" w:eastAsia="CESI楷体-GB2312" w:cs="CESI楷体-GB2312"/>
          <w:b/>
          <w:bCs/>
          <w:color w:val="auto"/>
          <w:sz w:val="32"/>
          <w:szCs w:val="32"/>
          <w:lang w:val="en-US" w:eastAsia="zh-CN"/>
        </w:rPr>
        <w:t>（三）减免。</w:t>
      </w:r>
      <w:r>
        <w:rPr>
          <w:rFonts w:hint="eastAsia" w:ascii="Times New Roman" w:hAnsi="Times New Roman" w:eastAsia="仿宋_GB2312" w:cs="Times New Roman"/>
          <w:color w:val="auto"/>
          <w:sz w:val="32"/>
          <w:szCs w:val="32"/>
          <w:lang w:val="en-US" w:eastAsia="zh-CN"/>
        </w:rPr>
        <w:t>通过审核确认的，按照减免标准予以减免，对因证件不全或对现场免费资格认定有异议的，丧事承办人需先行支付产生的费用，并在5个工作日内提供有关证明办理退费，逾期不再退费。</w:t>
      </w:r>
    </w:p>
    <w:p w14:paraId="315271AF">
      <w:pPr>
        <w:keepNext w:val="0"/>
        <w:keepLines w:val="0"/>
        <w:pageBreakBefore w:val="0"/>
        <w:widowControl w:val="0"/>
        <w:kinsoku/>
        <w:wordWrap/>
        <w:overflowPunct/>
        <w:topLinePunct w:val="0"/>
        <w:autoSpaceDE/>
        <w:autoSpaceDN/>
        <w:bidi w:val="0"/>
        <w:adjustRightInd/>
        <w:snapToGrid/>
        <w:spacing w:line="560" w:lineRule="exact"/>
        <w:ind w:left="654"/>
        <w:textAlignment w:val="auto"/>
        <w:outlineLvl w:val="0"/>
        <w:rPr>
          <w:rFonts w:hint="eastAsia" w:ascii="黑体" w:hAnsi="黑体" w:eastAsia="黑体" w:cs="黑体"/>
          <w:b w:val="0"/>
          <w:bCs w:val="0"/>
          <w:color w:val="auto"/>
          <w:spacing w:val="6"/>
          <w:sz w:val="32"/>
          <w:szCs w:val="32"/>
          <w:lang w:val="en-US" w:eastAsia="zh-CN"/>
        </w:rPr>
      </w:pPr>
      <w:r>
        <w:rPr>
          <w:rFonts w:hint="eastAsia" w:ascii="黑体" w:hAnsi="黑体" w:eastAsia="黑体" w:cs="黑体"/>
          <w:b w:val="0"/>
          <w:bCs w:val="0"/>
          <w:color w:val="auto"/>
          <w:spacing w:val="6"/>
          <w:sz w:val="32"/>
          <w:szCs w:val="32"/>
          <w:lang w:val="en-US" w:eastAsia="zh-CN"/>
        </w:rPr>
        <w:t>五、相关要求</w:t>
      </w:r>
    </w:p>
    <w:p w14:paraId="7220B44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kern w:val="2"/>
          <w:sz w:val="32"/>
          <w:szCs w:val="32"/>
          <w:lang w:val="en-US" w:eastAsia="zh-CN" w:bidi="zh-CN"/>
        </w:rPr>
      </w:pPr>
      <w:r>
        <w:rPr>
          <w:rFonts w:hint="eastAsia" w:ascii="仿宋_GB2312" w:hAnsi="仿宋_GB2312" w:eastAsia="仿宋_GB2312" w:cs="仿宋_GB2312"/>
          <w:color w:val="auto"/>
          <w:kern w:val="2"/>
          <w:sz w:val="32"/>
          <w:szCs w:val="32"/>
          <w:lang w:val="en-US" w:eastAsia="zh-CN" w:bidi="zh-CN"/>
        </w:rPr>
        <w:t>1.市直殡葬服务单位要在遗体接运第一时间做好减免殡葬服务费用政策告知，并在服务窗口、业务大厅等显著位置利用宣传栏、电子屏等做好政策宣传。</w:t>
      </w:r>
    </w:p>
    <w:p w14:paraId="4AF3843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zh-CN"/>
        </w:rPr>
      </w:pPr>
      <w:r>
        <w:rPr>
          <w:rFonts w:hint="eastAsia" w:ascii="仿宋_GB2312" w:hAnsi="仿宋_GB2312" w:eastAsia="仿宋_GB2312" w:cs="仿宋_GB2312"/>
          <w:color w:val="auto"/>
          <w:kern w:val="2"/>
          <w:sz w:val="32"/>
          <w:szCs w:val="32"/>
          <w:lang w:val="en-US" w:eastAsia="zh-CN" w:bidi="zh-CN"/>
        </w:rPr>
        <w:t>2.市直殡葬服务单位要保障最低标准的殡葬四项基本服务项目供给，由于单位自身原因无法提供而自行使用同类别高档服务项目为群众服务的，不得收取差额费用。</w:t>
      </w:r>
    </w:p>
    <w:p w14:paraId="406F82F6">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zh-CN"/>
        </w:rPr>
      </w:pPr>
      <w:r>
        <w:rPr>
          <w:rFonts w:hint="eastAsia" w:ascii="仿宋_GB2312" w:hAnsi="仿宋_GB2312" w:eastAsia="仿宋_GB2312" w:cs="仿宋_GB2312"/>
          <w:color w:val="auto"/>
          <w:kern w:val="2"/>
          <w:sz w:val="32"/>
          <w:szCs w:val="32"/>
          <w:lang w:val="en-US" w:eastAsia="zh-CN" w:bidi="zh-CN"/>
        </w:rPr>
        <w:t>3.市直殡葬服务单位免费为丧事承办人提供证件复印服务。</w:t>
      </w:r>
    </w:p>
    <w:p w14:paraId="2EA1DCA9">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zh-CN"/>
        </w:rPr>
      </w:pPr>
      <w:r>
        <w:rPr>
          <w:rFonts w:hint="eastAsia" w:ascii="仿宋_GB2312" w:hAnsi="仿宋_GB2312" w:eastAsia="仿宋_GB2312" w:cs="仿宋_GB2312"/>
          <w:color w:val="auto"/>
          <w:kern w:val="2"/>
          <w:sz w:val="32"/>
          <w:szCs w:val="32"/>
          <w:lang w:val="en-US" w:eastAsia="zh-CN" w:bidi="zh-CN"/>
        </w:rPr>
        <w:t>4.减免对象丧属自愿选择减免项目同类别高档服务项目的，差额部分由丧事承办人承担。对未发生的殡葬减免项目，视为自动放弃、不返现、不折抵。</w:t>
      </w:r>
    </w:p>
    <w:p w14:paraId="328DFA4A">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zh-CN"/>
        </w:rPr>
      </w:pPr>
      <w:r>
        <w:rPr>
          <w:rFonts w:hint="eastAsia" w:ascii="仿宋_GB2312" w:hAnsi="仿宋_GB2312" w:eastAsia="仿宋_GB2312" w:cs="仿宋_GB2312"/>
          <w:color w:val="auto"/>
          <w:kern w:val="2"/>
          <w:sz w:val="32"/>
          <w:szCs w:val="32"/>
          <w:lang w:val="en-US" w:eastAsia="zh-CN" w:bidi="zh-CN"/>
        </w:rPr>
        <w:t>5.丧事承办人应如实提供相关证明材料，如有冒领、骗领等行为，由民政、人社等部门依法责令退还；构成违法犯罪的，移交公安机关追究法律责任。</w:t>
      </w:r>
    </w:p>
    <w:p w14:paraId="53B7853D">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0" w:firstLineChars="200"/>
        <w:textAlignment w:val="auto"/>
        <w:rPr>
          <w:rFonts w:hint="default" w:ascii="仿宋_GB2312" w:hAnsi="仿宋_GB2312" w:eastAsia="仿宋_GB2312" w:cs="仿宋_GB2312"/>
          <w:color w:val="auto"/>
          <w:kern w:val="2"/>
          <w:sz w:val="32"/>
          <w:szCs w:val="32"/>
          <w:lang w:val="en-US" w:eastAsia="zh-CN" w:bidi="zh-CN"/>
        </w:rPr>
      </w:pPr>
      <w:r>
        <w:rPr>
          <w:rFonts w:hint="eastAsia" w:ascii="仿宋_GB2312" w:hAnsi="仿宋_GB2312" w:eastAsia="仿宋_GB2312" w:cs="仿宋_GB2312"/>
          <w:color w:val="auto"/>
          <w:kern w:val="2"/>
          <w:sz w:val="32"/>
          <w:szCs w:val="32"/>
          <w:lang w:val="en-US" w:eastAsia="zh-CN" w:bidi="zh-CN"/>
        </w:rPr>
        <w:t>6.市直殡葬服务单位要认真执行政策，严格审核把关，不得违背丧属意愿增加服务内容，不得虚报服务项目。工作人员虚报申领减免的，责令限期清退，并追究相关人员责任。</w:t>
      </w:r>
    </w:p>
    <w:p w14:paraId="64EAE9BC">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0" w:firstLineChars="200"/>
        <w:textAlignment w:val="auto"/>
        <w:rPr>
          <w:rFonts w:hint="default" w:ascii="仿宋_GB2312" w:hAnsi="仿宋_GB2312" w:eastAsia="仿宋_GB2312" w:cs="仿宋_GB2312"/>
          <w:color w:val="auto"/>
          <w:kern w:val="2"/>
          <w:sz w:val="32"/>
          <w:szCs w:val="32"/>
          <w:lang w:val="en-US" w:eastAsia="zh-CN" w:bidi="zh-CN"/>
        </w:rPr>
      </w:pPr>
      <w:r>
        <w:rPr>
          <w:rFonts w:hint="eastAsia" w:ascii="仿宋_GB2312" w:hAnsi="仿宋_GB2312" w:eastAsia="仿宋_GB2312" w:cs="仿宋_GB2312"/>
          <w:color w:val="auto"/>
          <w:kern w:val="2"/>
          <w:sz w:val="32"/>
          <w:szCs w:val="32"/>
          <w:lang w:val="en-US" w:eastAsia="zh-CN" w:bidi="zh-CN"/>
        </w:rPr>
        <w:t>7.减免对象在外地火化遗体的，不予免除相关费用。</w:t>
      </w:r>
    </w:p>
    <w:p w14:paraId="4F16D00C">
      <w:pPr>
        <w:keepNext w:val="0"/>
        <w:keepLines w:val="0"/>
        <w:pageBreakBefore w:val="0"/>
        <w:widowControl w:val="0"/>
        <w:kinsoku/>
        <w:wordWrap/>
        <w:overflowPunct/>
        <w:topLinePunct w:val="0"/>
        <w:autoSpaceDE/>
        <w:autoSpaceDN/>
        <w:bidi w:val="0"/>
        <w:adjustRightInd/>
        <w:snapToGrid/>
        <w:spacing w:line="560" w:lineRule="exact"/>
        <w:ind w:left="654"/>
        <w:textAlignment w:val="auto"/>
        <w:outlineLvl w:val="0"/>
        <w:rPr>
          <w:rFonts w:hint="eastAsia" w:ascii="黑体" w:hAnsi="黑体" w:eastAsia="黑体" w:cs="黑体"/>
          <w:b w:val="0"/>
          <w:bCs w:val="0"/>
          <w:color w:val="auto"/>
          <w:spacing w:val="6"/>
          <w:sz w:val="32"/>
          <w:szCs w:val="32"/>
          <w:lang w:val="en-US" w:eastAsia="zh-CN"/>
        </w:rPr>
      </w:pPr>
      <w:r>
        <w:rPr>
          <w:rFonts w:hint="eastAsia" w:ascii="黑体" w:hAnsi="黑体" w:eastAsia="黑体" w:cs="黑体"/>
          <w:b w:val="0"/>
          <w:bCs w:val="0"/>
          <w:color w:val="auto"/>
          <w:spacing w:val="6"/>
          <w:sz w:val="32"/>
          <w:szCs w:val="32"/>
          <w:lang w:val="en-US" w:eastAsia="zh-CN"/>
        </w:rPr>
        <w:t>六、资金来源及结算方式</w:t>
      </w:r>
    </w:p>
    <w:p w14:paraId="59283A1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CESI楷体-GB2312" w:hAnsi="CESI楷体-GB2312" w:eastAsia="CESI楷体-GB2312" w:cs="CESI楷体-GB2312"/>
          <w:b/>
          <w:bCs/>
          <w:color w:val="auto"/>
          <w:sz w:val="32"/>
          <w:szCs w:val="32"/>
          <w:lang w:val="en-US" w:eastAsia="zh-CN"/>
        </w:rPr>
        <w:t>（一）资金来源。</w:t>
      </w:r>
      <w:r>
        <w:rPr>
          <w:rFonts w:hint="eastAsia" w:ascii="Times New Roman" w:hAnsi="Times New Roman" w:eastAsia="仿宋_GB2312" w:cs="Times New Roman"/>
          <w:color w:val="auto"/>
          <w:sz w:val="32"/>
          <w:szCs w:val="32"/>
          <w:lang w:val="en-US" w:eastAsia="zh-CN"/>
        </w:rPr>
        <w:t>殡葬服务费用减免标准将根据发改部门定价（指导价）标准进行动态调整，所需资金由市财政承担。</w:t>
      </w:r>
    </w:p>
    <w:p w14:paraId="2E6253E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color w:val="auto"/>
          <w:sz w:val="32"/>
          <w:szCs w:val="32"/>
          <w:lang w:val="en-US" w:eastAsia="zh-CN"/>
        </w:rPr>
      </w:pPr>
      <w:r>
        <w:rPr>
          <w:rFonts w:hint="eastAsia" w:ascii="CESI楷体-GB2312" w:hAnsi="CESI楷体-GB2312" w:eastAsia="CESI楷体-GB2312" w:cs="CESI楷体-GB2312"/>
          <w:b/>
          <w:bCs/>
          <w:color w:val="auto"/>
          <w:sz w:val="32"/>
          <w:szCs w:val="32"/>
          <w:lang w:val="en-US" w:eastAsia="zh-CN"/>
        </w:rPr>
        <w:t>（二）预算安排。</w:t>
      </w:r>
      <w:r>
        <w:rPr>
          <w:rFonts w:hint="eastAsia" w:ascii="Times New Roman" w:hAnsi="Times New Roman" w:eastAsia="仿宋_GB2312" w:cs="Times New Roman"/>
          <w:color w:val="auto"/>
          <w:sz w:val="32"/>
          <w:szCs w:val="32"/>
          <w:lang w:val="en-US" w:eastAsia="zh-CN"/>
        </w:rPr>
        <w:t>每年10月份</w:t>
      </w:r>
      <w:r>
        <w:rPr>
          <w:rFonts w:hint="eastAsia" w:ascii="Times New Roman" w:hAnsi="Times New Roman" w:eastAsia="仿宋_GB2312" w:cs="Times New Roman"/>
          <w:color w:val="auto"/>
          <w:sz w:val="32"/>
          <w:szCs w:val="32"/>
          <w:highlight w:val="none"/>
          <w:lang w:val="en-US" w:eastAsia="zh-CN"/>
        </w:rPr>
        <w:t>，市直殡葬服务单位根据上年度火化人数，以及上年度发改部门规定的收费标准测算出殡葬服务费用减免所需经费，由市民政局审核后报市财政局，纳入</w:t>
      </w:r>
      <w:r>
        <w:rPr>
          <w:rFonts w:hint="eastAsia" w:ascii="Times New Roman" w:hAnsi="Times New Roman" w:eastAsia="仿宋_GB2312" w:cs="Times New Roman"/>
          <w:color w:val="auto"/>
          <w:sz w:val="32"/>
          <w:szCs w:val="32"/>
          <w:lang w:val="en-US" w:eastAsia="zh-CN"/>
        </w:rPr>
        <w:t>殡葬服务单位惠民补助部门下年度预算。</w:t>
      </w:r>
    </w:p>
    <w:p w14:paraId="4F4B9D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CESI楷体-GB2312" w:hAnsi="CESI楷体-GB2312" w:eastAsia="CESI楷体-GB2312" w:cs="CESI楷体-GB2312"/>
          <w:b/>
          <w:bCs/>
          <w:color w:val="auto"/>
          <w:sz w:val="32"/>
          <w:szCs w:val="32"/>
          <w:lang w:val="en-US" w:eastAsia="zh-CN"/>
        </w:rPr>
        <w:t>（三）资金清算。</w:t>
      </w:r>
      <w:r>
        <w:rPr>
          <w:rFonts w:hint="eastAsia" w:ascii="Times New Roman" w:hAnsi="Times New Roman" w:eastAsia="仿宋_GB2312" w:cs="Times New Roman"/>
          <w:color w:val="auto"/>
          <w:sz w:val="32"/>
          <w:szCs w:val="32"/>
          <w:lang w:val="en-US" w:eastAsia="zh-CN"/>
        </w:rPr>
        <w:t>次年，市直殡葬服务单位按照减免项目和发改部门规定的收费标准核定上年度实际免除金额，填写《牡丹江市城区（含海林市）户籍居民殡葬服务费用减免资金经费结算表》，并附《申请表》及申请所需材料复印件报送市民政局审核，由市民政局审核汇总数据后将资金申请报市财政局，市财政局根据市民政局资金申请，采取多退少补原则，对惠民补助预算资金进行清算。</w:t>
      </w:r>
    </w:p>
    <w:p w14:paraId="297CA57D">
      <w:pPr>
        <w:keepNext w:val="0"/>
        <w:keepLines w:val="0"/>
        <w:pageBreakBefore w:val="0"/>
        <w:widowControl w:val="0"/>
        <w:kinsoku/>
        <w:wordWrap/>
        <w:overflowPunct/>
        <w:topLinePunct w:val="0"/>
        <w:autoSpaceDE/>
        <w:autoSpaceDN/>
        <w:bidi w:val="0"/>
        <w:adjustRightInd/>
        <w:snapToGrid/>
        <w:spacing w:line="560" w:lineRule="exact"/>
        <w:ind w:left="654"/>
        <w:textAlignment w:val="auto"/>
        <w:outlineLvl w:val="0"/>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pacing w:val="6"/>
          <w:sz w:val="32"/>
          <w:szCs w:val="32"/>
          <w:lang w:val="en-US" w:eastAsia="zh-CN"/>
        </w:rPr>
        <w:t>七</w:t>
      </w:r>
      <w:r>
        <w:rPr>
          <w:rFonts w:ascii="黑体" w:hAnsi="黑体" w:eastAsia="黑体" w:cs="黑体"/>
          <w:b w:val="0"/>
          <w:bCs w:val="0"/>
          <w:color w:val="auto"/>
          <w:spacing w:val="6"/>
          <w:sz w:val="32"/>
          <w:szCs w:val="32"/>
        </w:rPr>
        <w:t>、</w:t>
      </w:r>
      <w:r>
        <w:rPr>
          <w:rFonts w:hint="eastAsia" w:ascii="黑体" w:hAnsi="黑体" w:eastAsia="黑体" w:cs="黑体"/>
          <w:b w:val="0"/>
          <w:bCs w:val="0"/>
          <w:color w:val="auto"/>
          <w:spacing w:val="6"/>
          <w:sz w:val="32"/>
          <w:szCs w:val="32"/>
          <w:lang w:val="en-US" w:eastAsia="zh-CN"/>
        </w:rPr>
        <w:t>其他规定</w:t>
      </w:r>
    </w:p>
    <w:p w14:paraId="0EA23364">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Times New Roman" w:hAnsi="Times New Roman" w:eastAsia="仿宋_GB2312" w:cs="Times New Roman"/>
          <w:color w:val="auto"/>
          <w:kern w:val="2"/>
          <w:sz w:val="32"/>
          <w:szCs w:val="32"/>
          <w:lang w:val="en-US" w:eastAsia="zh-CN" w:bidi="ar-SA"/>
        </w:rPr>
        <w:t>本办法自</w:t>
      </w:r>
      <w:r>
        <w:rPr>
          <w:rFonts w:hint="eastAsia" w:eastAsia="仿宋_GB2312" w:cs="Times New Roman"/>
          <w:color w:val="auto"/>
          <w:kern w:val="2"/>
          <w:sz w:val="32"/>
          <w:szCs w:val="32"/>
          <w:lang w:val="en-US" w:eastAsia="zh-CN" w:bidi="ar-SA"/>
        </w:rPr>
        <w:t>2026</w:t>
      </w:r>
      <w:r>
        <w:rPr>
          <w:rFonts w:hint="eastAsia" w:ascii="Times New Roman" w:hAnsi="Times New Roman" w:eastAsia="仿宋_GB2312" w:cs="Times New Roman"/>
          <w:color w:val="auto"/>
          <w:kern w:val="2"/>
          <w:sz w:val="32"/>
          <w:szCs w:val="32"/>
          <w:lang w:val="en-US" w:eastAsia="zh-CN" w:bidi="ar-SA"/>
        </w:rPr>
        <w:t>年</w:t>
      </w:r>
      <w:r>
        <w:rPr>
          <w:rFonts w:hint="eastAsia" w:eastAsia="仿宋_GB2312" w:cs="Times New Roman"/>
          <w:color w:val="auto"/>
          <w:kern w:val="2"/>
          <w:sz w:val="32"/>
          <w:szCs w:val="32"/>
          <w:lang w:val="en-US" w:eastAsia="zh-CN" w:bidi="ar-SA"/>
        </w:rPr>
        <w:t>1</w:t>
      </w:r>
      <w:r>
        <w:rPr>
          <w:rFonts w:hint="eastAsia" w:ascii="Times New Roman" w:hAnsi="Times New Roman" w:eastAsia="仿宋_GB2312" w:cs="Times New Roman"/>
          <w:color w:val="auto"/>
          <w:kern w:val="2"/>
          <w:sz w:val="32"/>
          <w:szCs w:val="32"/>
          <w:lang w:val="en-US" w:eastAsia="zh-CN" w:bidi="ar-SA"/>
        </w:rPr>
        <w:t>月1日起实施，有效期5年。</w:t>
      </w:r>
      <w:r>
        <w:rPr>
          <w:rFonts w:hint="eastAsia" w:eastAsia="仿宋_GB2312" w:cs="Times New Roman"/>
          <w:color w:val="auto"/>
          <w:kern w:val="2"/>
          <w:sz w:val="32"/>
          <w:szCs w:val="32"/>
          <w:lang w:val="en-US" w:eastAsia="zh-CN" w:bidi="ar-SA"/>
        </w:rPr>
        <w:t>市民政局、市财政局等10部门联合印发的</w:t>
      </w:r>
      <w:r>
        <w:rPr>
          <w:rFonts w:hint="eastAsia" w:ascii="Times New Roman" w:hAnsi="Times New Roman" w:eastAsia="仿宋_GB2312" w:cs="Times New Roman"/>
          <w:color w:val="auto"/>
          <w:sz w:val="32"/>
          <w:szCs w:val="32"/>
          <w:lang w:val="en-US" w:eastAsia="zh-CN"/>
        </w:rPr>
        <w:t>《牡丹江市城区（含海林市）户籍居民殡葬服务费用减免实施办法》</w:t>
      </w:r>
      <w:r>
        <w:rPr>
          <w:rFonts w:hint="eastAsia" w:eastAsia="仿宋_GB2312" w:cs="Times New Roman"/>
          <w:color w:val="auto"/>
          <w:sz w:val="32"/>
          <w:szCs w:val="32"/>
          <w:lang w:val="en-US" w:eastAsia="zh-CN"/>
        </w:rPr>
        <w:t>（牡民联规</w:t>
      </w:r>
      <w:r>
        <w:rPr>
          <w:rFonts w:hint="eastAsia" w:ascii="仿宋_GB2312" w:hAnsi="仿宋_GB2312" w:eastAsia="仿宋_GB2312" w:cs="仿宋_GB2312"/>
          <w:color w:val="auto"/>
          <w:sz w:val="32"/>
          <w:szCs w:val="32"/>
          <w:lang w:val="en-US" w:eastAsia="zh-CN"/>
        </w:rPr>
        <w:t>〔2025〕4号）同时废止。</w:t>
      </w:r>
    </w:p>
    <w:p w14:paraId="7D29C29F">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各县（市）可根据本地实际，参照本办法执行。</w:t>
      </w:r>
    </w:p>
    <w:p w14:paraId="017C203F">
      <w:pPr>
        <w:pStyle w:val="8"/>
        <w:keepNext w:val="0"/>
        <w:keepLines w:val="0"/>
        <w:pageBreakBefore w:val="0"/>
        <w:widowControl w:val="0"/>
        <w:kinsoku/>
        <w:wordWrap/>
        <w:overflowPunct/>
        <w:topLinePunct w:val="0"/>
        <w:autoSpaceDE/>
        <w:autoSpaceDN/>
        <w:bidi w:val="0"/>
        <w:adjustRightInd/>
        <w:snapToGrid/>
        <w:spacing w:afterLines="0" w:line="560" w:lineRule="exact"/>
        <w:ind w:left="0" w:leftChars="0" w:firstLine="0" w:firstLineChars="0"/>
        <w:textAlignment w:val="auto"/>
        <w:rPr>
          <w:rFonts w:hint="eastAsia" w:ascii="仿宋_GB2312" w:hAnsi="仿宋_GB2312" w:eastAsia="仿宋_GB2312" w:cs="仿宋_GB2312"/>
          <w:color w:val="auto"/>
          <w:sz w:val="32"/>
          <w:szCs w:val="32"/>
          <w:lang w:val="en-US" w:eastAsia="zh-CN"/>
        </w:rPr>
      </w:pPr>
    </w:p>
    <w:p w14:paraId="055CAF37">
      <w:pPr>
        <w:keepNext w:val="0"/>
        <w:keepLines w:val="0"/>
        <w:pageBreakBefore w:val="0"/>
        <w:kinsoku/>
        <w:wordWrap/>
        <w:overflowPunct/>
        <w:topLinePunct w:val="0"/>
        <w:autoSpaceDE/>
        <w:autoSpaceDN/>
        <w:bidi w:val="0"/>
        <w:adjustRightInd/>
        <w:snapToGrid/>
        <w:spacing w:line="560" w:lineRule="exact"/>
        <w:ind w:left="1982" w:leftChars="304" w:hanging="1344" w:hangingChars="400"/>
        <w:textAlignment w:val="auto"/>
        <w:rPr>
          <w:rFonts w:ascii="FangSong_GB2312" w:hAnsi="FangSong_GB2312" w:eastAsia="FangSong_GB2312" w:cs="FangSong_GB2312"/>
          <w:color w:val="auto"/>
          <w:spacing w:val="8"/>
          <w:sz w:val="32"/>
          <w:szCs w:val="32"/>
        </w:rPr>
      </w:pPr>
      <w:r>
        <w:rPr>
          <w:rFonts w:ascii="FangSong_GB2312" w:hAnsi="FangSong_GB2312" w:eastAsia="FangSong_GB2312" w:cs="FangSong_GB2312"/>
          <w:color w:val="auto"/>
          <w:spacing w:val="8"/>
          <w:sz w:val="32"/>
          <w:szCs w:val="32"/>
        </w:rPr>
        <w:t>附件：1.</w:t>
      </w:r>
      <w:r>
        <w:rPr>
          <w:rFonts w:hint="eastAsia" w:ascii="FangSong_GB2312" w:hAnsi="FangSong_GB2312" w:eastAsia="FangSong_GB2312" w:cs="FangSong_GB2312"/>
          <w:color w:val="auto"/>
          <w:spacing w:val="8"/>
          <w:sz w:val="32"/>
          <w:szCs w:val="32"/>
          <w:lang w:val="en-US" w:eastAsia="zh-CN"/>
        </w:rPr>
        <w:t>牡丹江市城区（含海林市）户籍居民殡葬服务费用减免</w:t>
      </w:r>
      <w:r>
        <w:rPr>
          <w:rFonts w:ascii="FangSong_GB2312" w:hAnsi="FangSong_GB2312" w:eastAsia="FangSong_GB2312" w:cs="FangSong_GB2312"/>
          <w:color w:val="auto"/>
          <w:spacing w:val="8"/>
          <w:sz w:val="32"/>
          <w:szCs w:val="32"/>
        </w:rPr>
        <w:t>申请表</w:t>
      </w:r>
    </w:p>
    <w:p w14:paraId="2BAA4C9F">
      <w:pPr>
        <w:keepNext w:val="0"/>
        <w:keepLines w:val="0"/>
        <w:pageBreakBefore w:val="0"/>
        <w:kinsoku/>
        <w:wordWrap/>
        <w:overflowPunct/>
        <w:topLinePunct w:val="0"/>
        <w:autoSpaceDE/>
        <w:autoSpaceDN/>
        <w:bidi w:val="0"/>
        <w:adjustRightInd/>
        <w:snapToGrid/>
        <w:spacing w:line="560" w:lineRule="exact"/>
        <w:ind w:left="1932" w:leftChars="760" w:hanging="336" w:hangingChars="100"/>
        <w:textAlignment w:val="auto"/>
        <w:rPr>
          <w:rFonts w:ascii="FangSong_GB2312" w:hAnsi="FangSong_GB2312" w:eastAsia="FangSong_GB2312" w:cs="FangSong_GB2312"/>
          <w:color w:val="auto"/>
          <w:sz w:val="31"/>
          <w:szCs w:val="31"/>
        </w:rPr>
      </w:pPr>
      <w:r>
        <w:rPr>
          <w:rFonts w:ascii="FangSong_GB2312" w:hAnsi="FangSong_GB2312" w:eastAsia="FangSong_GB2312" w:cs="FangSong_GB2312"/>
          <w:color w:val="auto"/>
          <w:spacing w:val="8"/>
          <w:sz w:val="32"/>
          <w:szCs w:val="32"/>
        </w:rPr>
        <w:t>2.</w:t>
      </w:r>
      <w:r>
        <w:rPr>
          <w:rFonts w:hint="eastAsia" w:ascii="Times New Roman" w:hAnsi="Times New Roman" w:eastAsia="仿宋_GB2312" w:cs="Times New Roman"/>
          <w:color w:val="auto"/>
          <w:sz w:val="32"/>
          <w:szCs w:val="32"/>
          <w:lang w:val="en-US" w:eastAsia="zh-CN"/>
        </w:rPr>
        <w:t>牡丹江市城区（含海林市）户籍居民殡葬服务费用减免</w:t>
      </w:r>
      <w:r>
        <w:rPr>
          <w:rFonts w:ascii="FangSong_GB2312" w:hAnsi="FangSong_GB2312" w:eastAsia="FangSong_GB2312" w:cs="FangSong_GB2312"/>
          <w:color w:val="auto"/>
          <w:spacing w:val="8"/>
          <w:sz w:val="32"/>
          <w:szCs w:val="32"/>
        </w:rPr>
        <w:t>资金经费结算表</w:t>
      </w:r>
    </w:p>
    <w:p w14:paraId="7046AD5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rPr>
      </w:pPr>
    </w:p>
    <w:p w14:paraId="31A26C0F">
      <w:pPr>
        <w:keepNext w:val="0"/>
        <w:keepLines w:val="0"/>
        <w:pageBreakBefore w:val="0"/>
        <w:widowControl w:val="0"/>
        <w:kinsoku/>
        <w:wordWrap/>
        <w:overflowPunct/>
        <w:topLinePunct w:val="0"/>
        <w:autoSpaceDE/>
        <w:autoSpaceDN/>
        <w:bidi w:val="0"/>
        <w:adjustRightInd/>
        <w:snapToGrid/>
        <w:spacing w:line="400" w:lineRule="exact"/>
        <w:textAlignment w:val="auto"/>
        <w:rPr>
          <w:rFonts w:ascii="黑体" w:hAnsi="黑体" w:eastAsia="黑体" w:cs="黑体"/>
          <w:color w:val="auto"/>
          <w:spacing w:val="-1"/>
          <w:sz w:val="32"/>
          <w:szCs w:val="32"/>
        </w:rPr>
      </w:pPr>
    </w:p>
    <w:p w14:paraId="4D63C1CE">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auto"/>
          <w:spacing w:val="2"/>
          <w:sz w:val="20"/>
          <w:szCs w:val="20"/>
        </w:rPr>
      </w:pPr>
      <w:r>
        <w:rPr>
          <w:rFonts w:ascii="黑体" w:hAnsi="黑体" w:eastAsia="黑体" w:cs="黑体"/>
          <w:color w:val="auto"/>
          <w:spacing w:val="-1"/>
          <w:sz w:val="32"/>
          <w:szCs w:val="32"/>
        </w:rPr>
        <w:t>附件1</w:t>
      </w:r>
    </w:p>
    <w:p w14:paraId="66FEF4BB">
      <w:pPr>
        <w:keepNext w:val="0"/>
        <w:keepLines w:val="0"/>
        <w:pageBreakBefore w:val="0"/>
        <w:widowControl w:val="0"/>
        <w:kinsoku/>
        <w:wordWrap/>
        <w:overflowPunct/>
        <w:topLinePunct w:val="0"/>
        <w:autoSpaceDE/>
        <w:autoSpaceDN/>
        <w:bidi w:val="0"/>
        <w:adjustRightInd/>
        <w:snapToGrid/>
        <w:spacing w:line="400" w:lineRule="exact"/>
        <w:ind w:left="7012"/>
        <w:textAlignment w:val="auto"/>
        <w:rPr>
          <w:rFonts w:ascii="宋体" w:hAnsi="宋体" w:eastAsia="宋体" w:cs="宋体"/>
          <w:color w:val="auto"/>
          <w:sz w:val="20"/>
          <w:szCs w:val="20"/>
        </w:rPr>
      </w:pPr>
      <w:r>
        <w:rPr>
          <w:rFonts w:ascii="宋体" w:hAnsi="宋体" w:eastAsia="宋体" w:cs="宋体"/>
          <w:color w:val="auto"/>
          <w:spacing w:val="2"/>
          <w:sz w:val="20"/>
          <w:szCs w:val="20"/>
        </w:rPr>
        <w:t>编号：</w:t>
      </w:r>
    </w:p>
    <w:p w14:paraId="5D1F9B30">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3"/>
        <w:rPr>
          <w:rFonts w:hint="eastAsia" w:eastAsiaTheme="minorEastAsia"/>
          <w:lang w:eastAsia="zh-CN"/>
        </w:rPr>
      </w:pPr>
      <w:r>
        <w:rPr>
          <w:rFonts w:hint="eastAsia"/>
          <w:b/>
          <w:bCs/>
          <w:color w:val="auto"/>
          <w:spacing w:val="9"/>
          <w:w w:val="90"/>
          <w:sz w:val="31"/>
          <w:szCs w:val="31"/>
          <w:lang w:val="en-US" w:eastAsia="zh-CN"/>
        </w:rPr>
        <w:t>牡丹江市城区（含海林市）户籍居民殡葬服务费用减免</w:t>
      </w:r>
      <w:r>
        <w:rPr>
          <w:b/>
          <w:bCs/>
          <w:color w:val="auto"/>
          <w:spacing w:val="9"/>
          <w:w w:val="90"/>
          <w:sz w:val="31"/>
          <w:szCs w:val="31"/>
        </w:rPr>
        <w:t>申请表</w:t>
      </w:r>
    </w:p>
    <w:tbl>
      <w:tblPr>
        <w:tblStyle w:val="9"/>
        <w:tblpPr w:leftFromText="180" w:rightFromText="180" w:vertAnchor="text" w:horzAnchor="page" w:tblpX="1619" w:tblpY="96"/>
        <w:tblOverlap w:val="never"/>
        <w:tblW w:w="906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319"/>
        <w:gridCol w:w="1679"/>
        <w:gridCol w:w="1076"/>
        <w:gridCol w:w="1247"/>
        <w:gridCol w:w="171"/>
        <w:gridCol w:w="939"/>
        <w:gridCol w:w="480"/>
        <w:gridCol w:w="1426"/>
      </w:tblGrid>
      <w:tr w14:paraId="3CBF13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trPr>
        <w:tc>
          <w:tcPr>
            <w:tcW w:w="728" w:type="dxa"/>
            <w:vMerge w:val="restart"/>
            <w:tcBorders>
              <w:bottom w:val="nil"/>
            </w:tcBorders>
            <w:vAlign w:val="top"/>
          </w:tcPr>
          <w:p w14:paraId="6C7ED586">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p w14:paraId="296431C6">
            <w:pPr>
              <w:pStyle w:val="10"/>
              <w:keepNext w:val="0"/>
              <w:keepLines w:val="0"/>
              <w:pageBreakBefore w:val="0"/>
              <w:widowControl w:val="0"/>
              <w:kinsoku/>
              <w:wordWrap/>
              <w:overflowPunct/>
              <w:topLinePunct w:val="0"/>
              <w:autoSpaceDE/>
              <w:autoSpaceDN/>
              <w:bidi w:val="0"/>
              <w:adjustRightInd/>
              <w:snapToGrid/>
              <w:spacing w:line="360" w:lineRule="atLeast"/>
              <w:ind w:left="160"/>
              <w:textAlignment w:val="auto"/>
              <w:rPr>
                <w:color w:val="auto"/>
              </w:rPr>
            </w:pPr>
            <w:r>
              <w:rPr>
                <w:color w:val="auto"/>
                <w:spacing w:val="5"/>
              </w:rPr>
              <w:t>逝者</w:t>
            </w:r>
          </w:p>
          <w:p w14:paraId="3F2A6458">
            <w:pPr>
              <w:pStyle w:val="10"/>
              <w:keepNext w:val="0"/>
              <w:keepLines w:val="0"/>
              <w:pageBreakBefore w:val="0"/>
              <w:widowControl w:val="0"/>
              <w:kinsoku/>
              <w:wordWrap/>
              <w:overflowPunct/>
              <w:topLinePunct w:val="0"/>
              <w:autoSpaceDE/>
              <w:autoSpaceDN/>
              <w:bidi w:val="0"/>
              <w:adjustRightInd/>
              <w:snapToGrid/>
              <w:spacing w:line="360" w:lineRule="atLeast"/>
              <w:ind w:left="159"/>
              <w:textAlignment w:val="auto"/>
              <w:rPr>
                <w:color w:val="auto"/>
              </w:rPr>
            </w:pPr>
            <w:r>
              <w:rPr>
                <w:color w:val="auto"/>
                <w:spacing w:val="5"/>
              </w:rPr>
              <w:t>情况</w:t>
            </w:r>
          </w:p>
        </w:tc>
        <w:tc>
          <w:tcPr>
            <w:tcW w:w="1319" w:type="dxa"/>
            <w:vAlign w:val="top"/>
          </w:tcPr>
          <w:p w14:paraId="7627B06E">
            <w:pPr>
              <w:pStyle w:val="10"/>
              <w:keepNext w:val="0"/>
              <w:keepLines w:val="0"/>
              <w:pageBreakBefore w:val="0"/>
              <w:widowControl w:val="0"/>
              <w:kinsoku/>
              <w:wordWrap/>
              <w:overflowPunct/>
              <w:topLinePunct w:val="0"/>
              <w:autoSpaceDE/>
              <w:autoSpaceDN/>
              <w:bidi w:val="0"/>
              <w:adjustRightInd/>
              <w:snapToGrid/>
              <w:spacing w:line="360" w:lineRule="atLeast"/>
              <w:ind w:left="349"/>
              <w:textAlignment w:val="auto"/>
              <w:rPr>
                <w:color w:val="auto"/>
              </w:rPr>
            </w:pPr>
            <w:r>
              <w:rPr>
                <w:color w:val="auto"/>
              </w:rPr>
              <w:t>姓</w:t>
            </w:r>
            <w:r>
              <w:rPr>
                <w:color w:val="auto"/>
                <w:spacing w:val="10"/>
              </w:rPr>
              <w:t xml:space="preserve">  </w:t>
            </w:r>
            <w:r>
              <w:rPr>
                <w:color w:val="auto"/>
              </w:rPr>
              <w:t>名</w:t>
            </w:r>
          </w:p>
        </w:tc>
        <w:tc>
          <w:tcPr>
            <w:tcW w:w="1679" w:type="dxa"/>
            <w:vAlign w:val="top"/>
          </w:tcPr>
          <w:p w14:paraId="3A090477">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076" w:type="dxa"/>
            <w:vAlign w:val="top"/>
          </w:tcPr>
          <w:p w14:paraId="4AAF5644">
            <w:pPr>
              <w:pStyle w:val="10"/>
              <w:keepNext w:val="0"/>
              <w:keepLines w:val="0"/>
              <w:pageBreakBefore w:val="0"/>
              <w:widowControl w:val="0"/>
              <w:kinsoku/>
              <w:wordWrap/>
              <w:overflowPunct/>
              <w:topLinePunct w:val="0"/>
              <w:autoSpaceDE/>
              <w:autoSpaceDN/>
              <w:bidi w:val="0"/>
              <w:adjustRightInd/>
              <w:snapToGrid/>
              <w:spacing w:line="360" w:lineRule="atLeast"/>
              <w:ind w:left="229"/>
              <w:textAlignment w:val="auto"/>
              <w:rPr>
                <w:color w:val="auto"/>
              </w:rPr>
            </w:pPr>
            <w:r>
              <w:rPr>
                <w:color w:val="auto"/>
              </w:rPr>
              <w:t>性</w:t>
            </w:r>
            <w:r>
              <w:rPr>
                <w:color w:val="auto"/>
                <w:spacing w:val="10"/>
              </w:rPr>
              <w:t xml:space="preserve">  </w:t>
            </w:r>
            <w:r>
              <w:rPr>
                <w:color w:val="auto"/>
              </w:rPr>
              <w:t>别</w:t>
            </w:r>
          </w:p>
        </w:tc>
        <w:tc>
          <w:tcPr>
            <w:tcW w:w="1418" w:type="dxa"/>
            <w:gridSpan w:val="2"/>
            <w:vAlign w:val="top"/>
          </w:tcPr>
          <w:p w14:paraId="6C801B97">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419" w:type="dxa"/>
            <w:gridSpan w:val="2"/>
            <w:vAlign w:val="top"/>
          </w:tcPr>
          <w:p w14:paraId="0C9A5F72">
            <w:pPr>
              <w:pStyle w:val="10"/>
              <w:keepNext w:val="0"/>
              <w:keepLines w:val="0"/>
              <w:pageBreakBefore w:val="0"/>
              <w:widowControl w:val="0"/>
              <w:kinsoku/>
              <w:wordWrap/>
              <w:overflowPunct/>
              <w:topLinePunct w:val="0"/>
              <w:autoSpaceDE/>
              <w:autoSpaceDN/>
              <w:bidi w:val="0"/>
              <w:adjustRightInd/>
              <w:snapToGrid/>
              <w:spacing w:line="360" w:lineRule="atLeast"/>
              <w:ind w:left="422"/>
              <w:textAlignment w:val="auto"/>
              <w:rPr>
                <w:color w:val="auto"/>
              </w:rPr>
            </w:pPr>
            <w:r>
              <w:rPr>
                <w:color w:val="auto"/>
                <w:spacing w:val="-9"/>
              </w:rPr>
              <w:t>民</w:t>
            </w:r>
            <w:r>
              <w:rPr>
                <w:color w:val="auto"/>
                <w:spacing w:val="9"/>
              </w:rPr>
              <w:t xml:space="preserve">  </w:t>
            </w:r>
            <w:r>
              <w:rPr>
                <w:color w:val="auto"/>
                <w:spacing w:val="-9"/>
              </w:rPr>
              <w:t>族</w:t>
            </w:r>
          </w:p>
        </w:tc>
        <w:tc>
          <w:tcPr>
            <w:tcW w:w="1426" w:type="dxa"/>
            <w:vAlign w:val="top"/>
          </w:tcPr>
          <w:p w14:paraId="1AF7CDC7">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r>
      <w:tr w14:paraId="44C0FF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728" w:type="dxa"/>
            <w:vMerge w:val="continue"/>
            <w:tcBorders>
              <w:top w:val="nil"/>
              <w:bottom w:val="nil"/>
            </w:tcBorders>
            <w:vAlign w:val="top"/>
          </w:tcPr>
          <w:p w14:paraId="287456A5">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319" w:type="dxa"/>
            <w:vAlign w:val="top"/>
          </w:tcPr>
          <w:p w14:paraId="50CA0616">
            <w:pPr>
              <w:pStyle w:val="10"/>
              <w:keepNext w:val="0"/>
              <w:keepLines w:val="0"/>
              <w:pageBreakBefore w:val="0"/>
              <w:widowControl w:val="0"/>
              <w:kinsoku/>
              <w:wordWrap/>
              <w:overflowPunct/>
              <w:topLinePunct w:val="0"/>
              <w:autoSpaceDE/>
              <w:autoSpaceDN/>
              <w:bidi w:val="0"/>
              <w:adjustRightInd/>
              <w:snapToGrid/>
              <w:spacing w:line="360" w:lineRule="atLeast"/>
              <w:ind w:left="113"/>
              <w:textAlignment w:val="auto"/>
              <w:rPr>
                <w:color w:val="auto"/>
              </w:rPr>
            </w:pPr>
            <w:r>
              <w:rPr>
                <w:color w:val="auto"/>
                <w:spacing w:val="7"/>
              </w:rPr>
              <w:t>火化证编号</w:t>
            </w:r>
          </w:p>
        </w:tc>
        <w:tc>
          <w:tcPr>
            <w:tcW w:w="7018" w:type="dxa"/>
            <w:gridSpan w:val="7"/>
            <w:vAlign w:val="top"/>
          </w:tcPr>
          <w:p w14:paraId="5C1D5DB4">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r>
      <w:tr w14:paraId="6905E5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728" w:type="dxa"/>
            <w:vMerge w:val="continue"/>
            <w:tcBorders>
              <w:top w:val="nil"/>
              <w:bottom w:val="nil"/>
            </w:tcBorders>
            <w:vAlign w:val="top"/>
          </w:tcPr>
          <w:p w14:paraId="5357B6BF">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319" w:type="dxa"/>
            <w:vAlign w:val="top"/>
          </w:tcPr>
          <w:p w14:paraId="77A559C6">
            <w:pPr>
              <w:pStyle w:val="10"/>
              <w:keepNext w:val="0"/>
              <w:keepLines w:val="0"/>
              <w:pageBreakBefore w:val="0"/>
              <w:widowControl w:val="0"/>
              <w:kinsoku/>
              <w:wordWrap/>
              <w:overflowPunct/>
              <w:topLinePunct w:val="0"/>
              <w:autoSpaceDE/>
              <w:autoSpaceDN/>
              <w:bidi w:val="0"/>
              <w:adjustRightInd/>
              <w:snapToGrid/>
              <w:spacing w:line="360" w:lineRule="atLeast"/>
              <w:ind w:left="117"/>
              <w:textAlignment w:val="auto"/>
              <w:rPr>
                <w:color w:val="auto"/>
              </w:rPr>
            </w:pPr>
            <w:r>
              <w:rPr>
                <w:color w:val="auto"/>
                <w:spacing w:val="7"/>
              </w:rPr>
              <w:t>身份证号码</w:t>
            </w:r>
          </w:p>
        </w:tc>
        <w:tc>
          <w:tcPr>
            <w:tcW w:w="4173" w:type="dxa"/>
            <w:gridSpan w:val="4"/>
            <w:vAlign w:val="top"/>
          </w:tcPr>
          <w:p w14:paraId="7BB638C5">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419" w:type="dxa"/>
            <w:gridSpan w:val="2"/>
            <w:vAlign w:val="top"/>
          </w:tcPr>
          <w:p w14:paraId="4438D043">
            <w:pPr>
              <w:pStyle w:val="10"/>
              <w:keepNext w:val="0"/>
              <w:keepLines w:val="0"/>
              <w:pageBreakBefore w:val="0"/>
              <w:widowControl w:val="0"/>
              <w:kinsoku/>
              <w:wordWrap/>
              <w:overflowPunct/>
              <w:topLinePunct w:val="0"/>
              <w:autoSpaceDE/>
              <w:autoSpaceDN/>
              <w:bidi w:val="0"/>
              <w:adjustRightInd/>
              <w:snapToGrid/>
              <w:spacing w:line="360" w:lineRule="atLeast"/>
              <w:ind w:left="296"/>
              <w:textAlignment w:val="auto"/>
              <w:rPr>
                <w:color w:val="auto"/>
              </w:rPr>
            </w:pPr>
            <w:r>
              <w:rPr>
                <w:color w:val="auto"/>
                <w:spacing w:val="7"/>
              </w:rPr>
              <w:t>死亡时间</w:t>
            </w:r>
          </w:p>
        </w:tc>
        <w:tc>
          <w:tcPr>
            <w:tcW w:w="1426" w:type="dxa"/>
            <w:vAlign w:val="top"/>
          </w:tcPr>
          <w:p w14:paraId="0442250F">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r>
      <w:tr w14:paraId="0F9B52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728" w:type="dxa"/>
            <w:vMerge w:val="continue"/>
            <w:tcBorders>
              <w:top w:val="nil"/>
            </w:tcBorders>
            <w:vAlign w:val="top"/>
          </w:tcPr>
          <w:p w14:paraId="263323A6">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319" w:type="dxa"/>
            <w:vAlign w:val="top"/>
          </w:tcPr>
          <w:p w14:paraId="6EA680ED">
            <w:pPr>
              <w:pStyle w:val="10"/>
              <w:keepNext w:val="0"/>
              <w:keepLines w:val="0"/>
              <w:pageBreakBefore w:val="0"/>
              <w:widowControl w:val="0"/>
              <w:kinsoku/>
              <w:wordWrap/>
              <w:overflowPunct/>
              <w:topLinePunct w:val="0"/>
              <w:autoSpaceDE/>
              <w:autoSpaceDN/>
              <w:bidi w:val="0"/>
              <w:adjustRightInd/>
              <w:snapToGrid/>
              <w:spacing w:line="360" w:lineRule="atLeast"/>
              <w:ind w:left="112"/>
              <w:textAlignment w:val="auto"/>
              <w:rPr>
                <w:color w:val="auto"/>
              </w:rPr>
            </w:pPr>
            <w:r>
              <w:rPr>
                <w:color w:val="auto"/>
                <w:spacing w:val="7"/>
              </w:rPr>
              <w:t>户籍所在地</w:t>
            </w:r>
          </w:p>
        </w:tc>
        <w:tc>
          <w:tcPr>
            <w:tcW w:w="7018" w:type="dxa"/>
            <w:gridSpan w:val="7"/>
            <w:vAlign w:val="top"/>
          </w:tcPr>
          <w:p w14:paraId="785F6561">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r>
      <w:tr w14:paraId="517D24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728" w:type="dxa"/>
            <w:vMerge w:val="restart"/>
            <w:tcBorders>
              <w:bottom w:val="nil"/>
            </w:tcBorders>
            <w:textDirection w:val="tbRlV"/>
            <w:vAlign w:val="center"/>
          </w:tcPr>
          <w:p w14:paraId="4BE7075B">
            <w:pPr>
              <w:pStyle w:val="10"/>
              <w:keepNext w:val="0"/>
              <w:keepLines w:val="0"/>
              <w:pageBreakBefore w:val="0"/>
              <w:widowControl w:val="0"/>
              <w:kinsoku/>
              <w:wordWrap/>
              <w:overflowPunct/>
              <w:topLinePunct w:val="0"/>
              <w:autoSpaceDE/>
              <w:autoSpaceDN/>
              <w:bidi w:val="0"/>
              <w:adjustRightInd/>
              <w:snapToGrid/>
              <w:spacing w:line="360" w:lineRule="atLeast"/>
              <w:ind w:left="1371"/>
              <w:jc w:val="center"/>
              <w:textAlignment w:val="auto"/>
              <w:rPr>
                <w:color w:val="auto"/>
              </w:rPr>
            </w:pPr>
            <w:r>
              <w:rPr>
                <w:color w:val="auto"/>
                <w:spacing w:val="10"/>
                <w:position w:val="1"/>
              </w:rPr>
              <w:t xml:space="preserve">申 </w:t>
            </w:r>
            <w:r>
              <w:rPr>
                <w:color w:val="auto"/>
                <w:spacing w:val="10"/>
              </w:rPr>
              <w:t>请</w:t>
            </w:r>
            <w:r>
              <w:rPr>
                <w:color w:val="auto"/>
                <w:spacing w:val="9"/>
              </w:rPr>
              <w:t xml:space="preserve"> </w:t>
            </w:r>
            <w:r>
              <w:rPr>
                <w:color w:val="auto"/>
                <w:spacing w:val="10"/>
              </w:rPr>
              <w:t>人</w:t>
            </w:r>
            <w:r>
              <w:rPr>
                <w:color w:val="auto"/>
                <w:spacing w:val="9"/>
              </w:rPr>
              <w:t xml:space="preserve"> </w:t>
            </w:r>
            <w:r>
              <w:rPr>
                <w:color w:val="auto"/>
                <w:spacing w:val="10"/>
              </w:rPr>
              <w:t>情</w:t>
            </w:r>
            <w:r>
              <w:rPr>
                <w:color w:val="auto"/>
                <w:spacing w:val="12"/>
              </w:rPr>
              <w:t xml:space="preserve"> </w:t>
            </w:r>
            <w:r>
              <w:rPr>
                <w:color w:val="auto"/>
                <w:spacing w:val="10"/>
              </w:rPr>
              <w:t>况</w:t>
            </w:r>
          </w:p>
        </w:tc>
        <w:tc>
          <w:tcPr>
            <w:tcW w:w="1319" w:type="dxa"/>
            <w:vAlign w:val="top"/>
          </w:tcPr>
          <w:p w14:paraId="44CDCE00">
            <w:pPr>
              <w:pStyle w:val="10"/>
              <w:keepNext w:val="0"/>
              <w:keepLines w:val="0"/>
              <w:pageBreakBefore w:val="0"/>
              <w:widowControl w:val="0"/>
              <w:kinsoku/>
              <w:wordWrap/>
              <w:overflowPunct/>
              <w:topLinePunct w:val="0"/>
              <w:autoSpaceDE/>
              <w:autoSpaceDN/>
              <w:bidi w:val="0"/>
              <w:adjustRightInd/>
              <w:snapToGrid/>
              <w:spacing w:line="360" w:lineRule="atLeast"/>
              <w:ind w:left="320"/>
              <w:textAlignment w:val="auto"/>
              <w:rPr>
                <w:color w:val="auto"/>
              </w:rPr>
            </w:pPr>
            <w:r>
              <w:rPr>
                <w:color w:val="auto"/>
              </w:rPr>
              <w:t>姓</w:t>
            </w:r>
            <w:r>
              <w:rPr>
                <w:color w:val="auto"/>
                <w:spacing w:val="10"/>
              </w:rPr>
              <w:t xml:space="preserve">  </w:t>
            </w:r>
            <w:r>
              <w:rPr>
                <w:color w:val="auto"/>
              </w:rPr>
              <w:t>名</w:t>
            </w:r>
          </w:p>
        </w:tc>
        <w:tc>
          <w:tcPr>
            <w:tcW w:w="1679" w:type="dxa"/>
            <w:vAlign w:val="top"/>
          </w:tcPr>
          <w:p w14:paraId="1F1053FC">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076" w:type="dxa"/>
            <w:vAlign w:val="top"/>
          </w:tcPr>
          <w:p w14:paraId="356E6472">
            <w:pPr>
              <w:pStyle w:val="10"/>
              <w:keepNext w:val="0"/>
              <w:keepLines w:val="0"/>
              <w:pageBreakBefore w:val="0"/>
              <w:widowControl w:val="0"/>
              <w:kinsoku/>
              <w:wordWrap/>
              <w:overflowPunct/>
              <w:topLinePunct w:val="0"/>
              <w:autoSpaceDE/>
              <w:autoSpaceDN/>
              <w:bidi w:val="0"/>
              <w:adjustRightInd/>
              <w:snapToGrid/>
              <w:spacing w:line="360" w:lineRule="atLeast"/>
              <w:ind w:left="229"/>
              <w:textAlignment w:val="auto"/>
              <w:rPr>
                <w:color w:val="auto"/>
              </w:rPr>
            </w:pPr>
            <w:r>
              <w:rPr>
                <w:color w:val="auto"/>
              </w:rPr>
              <w:t>性</w:t>
            </w:r>
            <w:r>
              <w:rPr>
                <w:color w:val="auto"/>
                <w:spacing w:val="10"/>
              </w:rPr>
              <w:t xml:space="preserve">  </w:t>
            </w:r>
            <w:r>
              <w:rPr>
                <w:color w:val="auto"/>
              </w:rPr>
              <w:t>别</w:t>
            </w:r>
          </w:p>
        </w:tc>
        <w:tc>
          <w:tcPr>
            <w:tcW w:w="1418" w:type="dxa"/>
            <w:gridSpan w:val="2"/>
            <w:vAlign w:val="top"/>
          </w:tcPr>
          <w:p w14:paraId="38B5EC59">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419" w:type="dxa"/>
            <w:gridSpan w:val="2"/>
            <w:vAlign w:val="top"/>
          </w:tcPr>
          <w:p w14:paraId="3F378ED3">
            <w:pPr>
              <w:pStyle w:val="10"/>
              <w:keepNext w:val="0"/>
              <w:keepLines w:val="0"/>
              <w:pageBreakBefore w:val="0"/>
              <w:widowControl w:val="0"/>
              <w:kinsoku/>
              <w:wordWrap/>
              <w:overflowPunct/>
              <w:topLinePunct w:val="0"/>
              <w:autoSpaceDE/>
              <w:autoSpaceDN/>
              <w:bidi w:val="0"/>
              <w:adjustRightInd/>
              <w:snapToGrid/>
              <w:spacing w:line="360" w:lineRule="atLeast"/>
              <w:ind w:left="197"/>
              <w:textAlignment w:val="auto"/>
              <w:rPr>
                <w:color w:val="auto"/>
              </w:rPr>
            </w:pPr>
            <w:r>
              <w:rPr>
                <w:color w:val="auto"/>
                <w:spacing w:val="7"/>
              </w:rPr>
              <w:t>与逝者关系</w:t>
            </w:r>
          </w:p>
        </w:tc>
        <w:tc>
          <w:tcPr>
            <w:tcW w:w="1426" w:type="dxa"/>
            <w:vAlign w:val="top"/>
          </w:tcPr>
          <w:p w14:paraId="3699D43A">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r>
      <w:tr w14:paraId="63182C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728" w:type="dxa"/>
            <w:vMerge w:val="continue"/>
            <w:tcBorders>
              <w:top w:val="nil"/>
              <w:bottom w:val="nil"/>
            </w:tcBorders>
            <w:textDirection w:val="tbRlV"/>
            <w:vAlign w:val="top"/>
          </w:tcPr>
          <w:p w14:paraId="1B51B015">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319" w:type="dxa"/>
            <w:vAlign w:val="top"/>
          </w:tcPr>
          <w:p w14:paraId="4EB5B041">
            <w:pPr>
              <w:pStyle w:val="10"/>
              <w:keepNext w:val="0"/>
              <w:keepLines w:val="0"/>
              <w:pageBreakBefore w:val="0"/>
              <w:widowControl w:val="0"/>
              <w:kinsoku/>
              <w:wordWrap/>
              <w:overflowPunct/>
              <w:topLinePunct w:val="0"/>
              <w:autoSpaceDE/>
              <w:autoSpaceDN/>
              <w:bidi w:val="0"/>
              <w:adjustRightInd/>
              <w:snapToGrid/>
              <w:spacing w:line="320" w:lineRule="atLeast"/>
              <w:ind w:left="244"/>
              <w:textAlignment w:val="auto"/>
              <w:rPr>
                <w:color w:val="auto"/>
              </w:rPr>
            </w:pPr>
            <w:r>
              <w:rPr>
                <w:color w:val="auto"/>
                <w:spacing w:val="7"/>
              </w:rPr>
              <w:t>有效身份</w:t>
            </w:r>
          </w:p>
          <w:p w14:paraId="254C6CBF">
            <w:pPr>
              <w:pStyle w:val="10"/>
              <w:keepNext w:val="0"/>
              <w:keepLines w:val="0"/>
              <w:pageBreakBefore w:val="0"/>
              <w:widowControl w:val="0"/>
              <w:kinsoku/>
              <w:wordWrap/>
              <w:overflowPunct/>
              <w:topLinePunct w:val="0"/>
              <w:autoSpaceDE/>
              <w:autoSpaceDN/>
              <w:bidi w:val="0"/>
              <w:adjustRightInd/>
              <w:snapToGrid/>
              <w:spacing w:line="320" w:lineRule="atLeast"/>
              <w:ind w:left="244"/>
              <w:textAlignment w:val="auto"/>
              <w:rPr>
                <w:color w:val="auto"/>
              </w:rPr>
            </w:pPr>
            <w:r>
              <w:rPr>
                <w:color w:val="auto"/>
                <w:spacing w:val="7"/>
              </w:rPr>
              <w:t>证件全称</w:t>
            </w:r>
          </w:p>
        </w:tc>
        <w:tc>
          <w:tcPr>
            <w:tcW w:w="1679" w:type="dxa"/>
            <w:vAlign w:val="center"/>
          </w:tcPr>
          <w:p w14:paraId="6A464CBC">
            <w:pPr>
              <w:keepNext w:val="0"/>
              <w:keepLines w:val="0"/>
              <w:pageBreakBefore w:val="0"/>
              <w:widowControl w:val="0"/>
              <w:kinsoku/>
              <w:wordWrap/>
              <w:overflowPunct/>
              <w:topLinePunct w:val="0"/>
              <w:autoSpaceDE/>
              <w:autoSpaceDN/>
              <w:bidi w:val="0"/>
              <w:adjustRightInd/>
              <w:snapToGrid/>
              <w:spacing w:line="360" w:lineRule="atLeast"/>
              <w:jc w:val="center"/>
              <w:textAlignment w:val="auto"/>
              <w:rPr>
                <w:rFonts w:ascii="Arial"/>
                <w:color w:val="auto"/>
                <w:sz w:val="21"/>
              </w:rPr>
            </w:pPr>
          </w:p>
        </w:tc>
        <w:tc>
          <w:tcPr>
            <w:tcW w:w="1076" w:type="dxa"/>
            <w:vAlign w:val="center"/>
          </w:tcPr>
          <w:p w14:paraId="779F1ADF">
            <w:pPr>
              <w:pStyle w:val="10"/>
              <w:keepNext w:val="0"/>
              <w:keepLines w:val="0"/>
              <w:pageBreakBefore w:val="0"/>
              <w:widowControl w:val="0"/>
              <w:kinsoku/>
              <w:wordWrap/>
              <w:overflowPunct/>
              <w:topLinePunct w:val="0"/>
              <w:autoSpaceDE/>
              <w:autoSpaceDN/>
              <w:bidi w:val="0"/>
              <w:adjustRightInd/>
              <w:snapToGrid/>
              <w:spacing w:line="360" w:lineRule="atLeast"/>
              <w:jc w:val="center"/>
              <w:textAlignment w:val="auto"/>
              <w:rPr>
                <w:color w:val="auto"/>
              </w:rPr>
            </w:pPr>
            <w:r>
              <w:rPr>
                <w:color w:val="auto"/>
                <w:spacing w:val="7"/>
              </w:rPr>
              <w:t>证件号码</w:t>
            </w:r>
          </w:p>
        </w:tc>
        <w:tc>
          <w:tcPr>
            <w:tcW w:w="4263" w:type="dxa"/>
            <w:gridSpan w:val="5"/>
            <w:vAlign w:val="top"/>
          </w:tcPr>
          <w:p w14:paraId="027B6402">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r>
      <w:tr w14:paraId="1500C5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728" w:type="dxa"/>
            <w:vMerge w:val="continue"/>
            <w:tcBorders>
              <w:top w:val="nil"/>
              <w:bottom w:val="nil"/>
            </w:tcBorders>
            <w:textDirection w:val="tbRlV"/>
            <w:vAlign w:val="top"/>
          </w:tcPr>
          <w:p w14:paraId="046BE0A1">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319" w:type="dxa"/>
            <w:vAlign w:val="center"/>
          </w:tcPr>
          <w:p w14:paraId="14D0D175">
            <w:pPr>
              <w:pStyle w:val="10"/>
              <w:keepNext w:val="0"/>
              <w:keepLines w:val="0"/>
              <w:pageBreakBefore w:val="0"/>
              <w:widowControl w:val="0"/>
              <w:kinsoku/>
              <w:wordWrap/>
              <w:overflowPunct/>
              <w:topLinePunct w:val="0"/>
              <w:autoSpaceDE/>
              <w:autoSpaceDN/>
              <w:bidi w:val="0"/>
              <w:adjustRightInd/>
              <w:snapToGrid/>
              <w:spacing w:line="360" w:lineRule="atLeast"/>
              <w:ind w:left="113"/>
              <w:jc w:val="center"/>
              <w:textAlignment w:val="auto"/>
              <w:rPr>
                <w:color w:val="auto"/>
              </w:rPr>
            </w:pPr>
            <w:r>
              <w:rPr>
                <w:color w:val="auto"/>
                <w:spacing w:val="6"/>
              </w:rPr>
              <w:t>现居住地</w:t>
            </w:r>
          </w:p>
        </w:tc>
        <w:tc>
          <w:tcPr>
            <w:tcW w:w="4002" w:type="dxa"/>
            <w:gridSpan w:val="3"/>
            <w:vAlign w:val="top"/>
          </w:tcPr>
          <w:p w14:paraId="52646BBF">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110" w:type="dxa"/>
            <w:gridSpan w:val="2"/>
            <w:vAlign w:val="top"/>
          </w:tcPr>
          <w:p w14:paraId="05D309F2">
            <w:pPr>
              <w:pStyle w:val="10"/>
              <w:keepNext w:val="0"/>
              <w:keepLines w:val="0"/>
              <w:pageBreakBefore w:val="0"/>
              <w:widowControl w:val="0"/>
              <w:kinsoku/>
              <w:wordWrap/>
              <w:overflowPunct/>
              <w:topLinePunct w:val="0"/>
              <w:autoSpaceDE/>
              <w:autoSpaceDN/>
              <w:bidi w:val="0"/>
              <w:adjustRightInd/>
              <w:snapToGrid/>
              <w:spacing w:line="360" w:lineRule="atLeast"/>
              <w:ind w:left="117"/>
              <w:textAlignment w:val="auto"/>
              <w:rPr>
                <w:color w:val="auto"/>
              </w:rPr>
            </w:pPr>
            <w:r>
              <w:rPr>
                <w:color w:val="auto"/>
                <w:spacing w:val="7"/>
              </w:rPr>
              <w:t>联系电话</w:t>
            </w:r>
          </w:p>
        </w:tc>
        <w:tc>
          <w:tcPr>
            <w:tcW w:w="1906" w:type="dxa"/>
            <w:gridSpan w:val="2"/>
            <w:vAlign w:val="top"/>
          </w:tcPr>
          <w:p w14:paraId="25A2DA7D">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r>
      <w:tr w14:paraId="4914B9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8" w:hRule="atLeast"/>
        </w:trPr>
        <w:tc>
          <w:tcPr>
            <w:tcW w:w="728" w:type="dxa"/>
            <w:vMerge w:val="continue"/>
            <w:tcBorders>
              <w:top w:val="nil"/>
              <w:bottom w:val="nil"/>
            </w:tcBorders>
            <w:textDirection w:val="tbRlV"/>
            <w:vAlign w:val="top"/>
          </w:tcPr>
          <w:p w14:paraId="111EA2F4">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1319" w:type="dxa"/>
            <w:vAlign w:val="center"/>
          </w:tcPr>
          <w:p w14:paraId="1CEFCAE1">
            <w:pPr>
              <w:pStyle w:val="10"/>
              <w:keepNext w:val="0"/>
              <w:keepLines w:val="0"/>
              <w:pageBreakBefore w:val="0"/>
              <w:widowControl w:val="0"/>
              <w:kinsoku/>
              <w:wordWrap/>
              <w:overflowPunct/>
              <w:topLinePunct w:val="0"/>
              <w:autoSpaceDE/>
              <w:autoSpaceDN/>
              <w:bidi w:val="0"/>
              <w:adjustRightInd/>
              <w:snapToGrid/>
              <w:spacing w:line="360" w:lineRule="atLeast"/>
              <w:ind w:left="139"/>
              <w:jc w:val="center"/>
              <w:textAlignment w:val="auto"/>
              <w:rPr>
                <w:color w:val="auto"/>
              </w:rPr>
            </w:pPr>
            <w:r>
              <w:rPr>
                <w:color w:val="auto"/>
              </w:rPr>
              <w:t>申请类别</w:t>
            </w:r>
          </w:p>
          <w:p w14:paraId="1EA08C79">
            <w:pPr>
              <w:pStyle w:val="10"/>
              <w:keepNext w:val="0"/>
              <w:keepLines w:val="0"/>
              <w:pageBreakBefore w:val="0"/>
              <w:widowControl w:val="0"/>
              <w:kinsoku/>
              <w:wordWrap/>
              <w:overflowPunct/>
              <w:topLinePunct w:val="0"/>
              <w:autoSpaceDE/>
              <w:autoSpaceDN/>
              <w:bidi w:val="0"/>
              <w:adjustRightInd/>
              <w:snapToGrid/>
              <w:spacing w:line="360" w:lineRule="atLeast"/>
              <w:ind w:left="139"/>
              <w:jc w:val="center"/>
              <w:textAlignment w:val="auto"/>
              <w:rPr>
                <w:rFonts w:ascii="黑体" w:hAnsi="黑体" w:eastAsia="黑体" w:cs="黑体"/>
                <w:color w:val="auto"/>
              </w:rPr>
            </w:pPr>
            <w:r>
              <w:rPr>
                <w:color w:val="auto"/>
                <w:spacing w:val="6"/>
              </w:rPr>
              <w:t>（</w:t>
            </w:r>
            <w:r>
              <w:rPr>
                <w:rFonts w:hint="eastAsia"/>
                <w:color w:val="auto"/>
                <w:spacing w:val="6"/>
                <w:lang w:val="en-US" w:eastAsia="zh-CN"/>
              </w:rPr>
              <w:t>在</w:t>
            </w:r>
            <w:r>
              <w:rPr>
                <w:color w:val="auto"/>
                <w:spacing w:val="6"/>
              </w:rPr>
              <w:t>相应类</w:t>
            </w:r>
            <w:r>
              <w:rPr>
                <w:color w:val="auto"/>
                <w:spacing w:val="4"/>
              </w:rPr>
              <w:t>别打</w:t>
            </w:r>
            <w:r>
              <w:rPr>
                <w:rFonts w:ascii="黑体" w:hAnsi="黑体" w:eastAsia="黑体" w:cs="黑体"/>
                <w:color w:val="auto"/>
                <w:spacing w:val="4"/>
              </w:rPr>
              <w:t>√</w:t>
            </w:r>
            <w:r>
              <w:rPr>
                <w:rFonts w:hint="eastAsia" w:ascii="黑体" w:hAnsi="黑体" w:eastAsia="黑体" w:cs="黑体"/>
                <w:color w:val="auto"/>
                <w:spacing w:val="-76"/>
                <w:lang w:eastAsia="zh-CN"/>
              </w:rPr>
              <w:t>）</w:t>
            </w:r>
          </w:p>
        </w:tc>
        <w:tc>
          <w:tcPr>
            <w:tcW w:w="7018" w:type="dxa"/>
            <w:gridSpan w:val="7"/>
            <w:vAlign w:val="top"/>
          </w:tcPr>
          <w:p w14:paraId="559BE0BC">
            <w:pPr>
              <w:pStyle w:val="10"/>
              <w:keepNext w:val="0"/>
              <w:keepLines w:val="0"/>
              <w:pageBreakBefore w:val="0"/>
              <w:widowControl w:val="0"/>
              <w:kinsoku/>
              <w:wordWrap/>
              <w:overflowPunct/>
              <w:topLinePunct w:val="0"/>
              <w:autoSpaceDE/>
              <w:autoSpaceDN/>
              <w:bidi w:val="0"/>
              <w:adjustRightInd/>
              <w:snapToGrid/>
              <w:spacing w:line="360" w:lineRule="atLeast"/>
              <w:ind w:left="119"/>
              <w:textAlignment w:val="auto"/>
              <w:rPr>
                <w:rFonts w:hint="eastAsia"/>
                <w:color w:val="auto"/>
                <w:spacing w:val="7"/>
                <w:sz w:val="20"/>
                <w:szCs w:val="20"/>
                <w:lang w:eastAsia="zh-CN"/>
              </w:rPr>
            </w:pPr>
            <w:r>
              <w:rPr>
                <w:rFonts w:hint="eastAsia"/>
                <w:color w:val="auto"/>
                <w:spacing w:val="9"/>
                <w:sz w:val="20"/>
                <w:szCs w:val="20"/>
                <w:lang w:val="en-US" w:eastAsia="zh-CN"/>
              </w:rPr>
              <w:t>1.</w:t>
            </w:r>
            <w:r>
              <w:rPr>
                <w:color w:val="auto"/>
                <w:spacing w:val="9"/>
                <w:sz w:val="20"/>
                <w:szCs w:val="20"/>
              </w:rPr>
              <w:t>城</w:t>
            </w:r>
            <w:r>
              <w:rPr>
                <w:color w:val="auto"/>
                <w:spacing w:val="7"/>
                <w:sz w:val="20"/>
                <w:szCs w:val="20"/>
              </w:rPr>
              <w:t>乡低保对象□、特困</w:t>
            </w:r>
            <w:r>
              <w:rPr>
                <w:rFonts w:hint="eastAsia"/>
                <w:color w:val="auto"/>
                <w:spacing w:val="7"/>
                <w:sz w:val="20"/>
                <w:szCs w:val="20"/>
                <w:lang w:val="en-US" w:eastAsia="zh-CN"/>
              </w:rPr>
              <w:t>供养对象</w:t>
            </w:r>
            <w:r>
              <w:rPr>
                <w:color w:val="auto"/>
                <w:spacing w:val="7"/>
                <w:sz w:val="20"/>
                <w:szCs w:val="20"/>
              </w:rPr>
              <w:t>□、</w:t>
            </w:r>
            <w:r>
              <w:rPr>
                <w:rFonts w:hint="eastAsia"/>
                <w:color w:val="auto"/>
                <w:spacing w:val="7"/>
                <w:sz w:val="20"/>
                <w:szCs w:val="20"/>
                <w:lang w:val="en-US" w:eastAsia="zh-CN"/>
              </w:rPr>
              <w:t>失独老人</w:t>
            </w:r>
            <w:r>
              <w:rPr>
                <w:color w:val="auto"/>
                <w:spacing w:val="7"/>
                <w:sz w:val="20"/>
                <w:szCs w:val="20"/>
              </w:rPr>
              <w:t>□、</w:t>
            </w:r>
            <w:r>
              <w:rPr>
                <w:rFonts w:hint="eastAsia"/>
                <w:color w:val="auto"/>
                <w:spacing w:val="7"/>
                <w:sz w:val="20"/>
                <w:szCs w:val="20"/>
                <w:lang w:val="en-US" w:eastAsia="zh-CN"/>
              </w:rPr>
              <w:t>临时困境人员</w:t>
            </w:r>
            <w:r>
              <w:rPr>
                <w:color w:val="auto"/>
                <w:spacing w:val="7"/>
                <w:sz w:val="20"/>
                <w:szCs w:val="20"/>
              </w:rPr>
              <w:t>□</w:t>
            </w:r>
            <w:r>
              <w:rPr>
                <w:rFonts w:hint="eastAsia"/>
                <w:color w:val="auto"/>
                <w:spacing w:val="7"/>
                <w:sz w:val="20"/>
                <w:szCs w:val="20"/>
                <w:lang w:eastAsia="zh-CN"/>
              </w:rPr>
              <w:t>、</w:t>
            </w:r>
            <w:r>
              <w:rPr>
                <w:rFonts w:hint="eastAsia"/>
                <w:color w:val="auto"/>
                <w:spacing w:val="7"/>
                <w:sz w:val="20"/>
                <w:szCs w:val="20"/>
                <w:lang w:val="en-US" w:eastAsia="zh-CN"/>
              </w:rPr>
              <w:t>农村居民</w:t>
            </w:r>
            <w:r>
              <w:rPr>
                <w:color w:val="auto"/>
                <w:spacing w:val="7"/>
                <w:sz w:val="20"/>
                <w:szCs w:val="20"/>
              </w:rPr>
              <w:t>□、</w:t>
            </w:r>
            <w:r>
              <w:rPr>
                <w:rFonts w:hint="eastAsia"/>
                <w:color w:val="auto"/>
                <w:spacing w:val="7"/>
                <w:sz w:val="20"/>
                <w:szCs w:val="20"/>
                <w:lang w:val="en-US" w:eastAsia="zh-CN"/>
              </w:rPr>
              <w:t>出生尚未登记户口的婴儿□、</w:t>
            </w:r>
            <w:r>
              <w:rPr>
                <w:color w:val="auto"/>
                <w:spacing w:val="7"/>
                <w:sz w:val="20"/>
                <w:szCs w:val="20"/>
              </w:rPr>
              <w:t>孤</w:t>
            </w:r>
            <w:r>
              <w:rPr>
                <w:rFonts w:hint="eastAsia"/>
                <w:color w:val="auto"/>
                <w:spacing w:val="7"/>
                <w:sz w:val="20"/>
                <w:szCs w:val="20"/>
                <w:lang w:val="en-US" w:eastAsia="zh-CN"/>
              </w:rPr>
              <w:t>儿</w:t>
            </w:r>
            <w:r>
              <w:rPr>
                <w:color w:val="auto"/>
                <w:spacing w:val="7"/>
                <w:sz w:val="20"/>
                <w:szCs w:val="20"/>
              </w:rPr>
              <w:t>（含事实无人抚养儿童）□、</w:t>
            </w:r>
            <w:r>
              <w:rPr>
                <w:rFonts w:hint="eastAsia"/>
                <w:color w:val="auto"/>
                <w:spacing w:val="7"/>
                <w:sz w:val="20"/>
                <w:szCs w:val="20"/>
                <w:lang w:val="en-US" w:eastAsia="zh-CN"/>
              </w:rPr>
              <w:t>集中供养的特困供养对象</w:t>
            </w:r>
            <w:r>
              <w:rPr>
                <w:color w:val="auto"/>
                <w:spacing w:val="7"/>
                <w:sz w:val="20"/>
                <w:szCs w:val="20"/>
              </w:rPr>
              <w:t>□</w:t>
            </w:r>
            <w:r>
              <w:rPr>
                <w:rFonts w:hint="eastAsia"/>
                <w:color w:val="auto"/>
                <w:spacing w:val="7"/>
                <w:sz w:val="20"/>
                <w:szCs w:val="20"/>
                <w:lang w:val="en-US" w:eastAsia="zh-CN"/>
              </w:rPr>
              <w:t>、救助的流浪乞讨人员</w:t>
            </w:r>
            <w:r>
              <w:rPr>
                <w:color w:val="auto"/>
                <w:spacing w:val="7"/>
                <w:sz w:val="20"/>
                <w:szCs w:val="20"/>
              </w:rPr>
              <w:t>□</w:t>
            </w:r>
            <w:r>
              <w:rPr>
                <w:rFonts w:hint="eastAsia"/>
                <w:color w:val="auto"/>
                <w:spacing w:val="7"/>
                <w:sz w:val="20"/>
                <w:szCs w:val="20"/>
                <w:lang w:eastAsia="zh-CN"/>
              </w:rPr>
              <w:t>、</w:t>
            </w:r>
            <w:r>
              <w:rPr>
                <w:rFonts w:hint="eastAsia"/>
                <w:color w:val="auto"/>
                <w:spacing w:val="7"/>
                <w:sz w:val="20"/>
                <w:szCs w:val="20"/>
                <w:lang w:val="en-US" w:eastAsia="zh-CN"/>
              </w:rPr>
              <w:t>其他保障对象</w:t>
            </w:r>
            <w:r>
              <w:rPr>
                <w:color w:val="auto"/>
                <w:spacing w:val="7"/>
                <w:sz w:val="20"/>
                <w:szCs w:val="20"/>
              </w:rPr>
              <w:t>□</w:t>
            </w:r>
            <w:r>
              <w:rPr>
                <w:rFonts w:hint="eastAsia"/>
                <w:color w:val="auto"/>
                <w:spacing w:val="7"/>
                <w:sz w:val="20"/>
                <w:szCs w:val="20"/>
                <w:lang w:eastAsia="zh-CN"/>
              </w:rPr>
              <w:t>。</w:t>
            </w:r>
          </w:p>
          <w:p w14:paraId="5BF36FBE">
            <w:pPr>
              <w:pStyle w:val="10"/>
              <w:keepNext w:val="0"/>
              <w:keepLines w:val="0"/>
              <w:pageBreakBefore w:val="0"/>
              <w:widowControl w:val="0"/>
              <w:kinsoku/>
              <w:wordWrap/>
              <w:overflowPunct/>
              <w:topLinePunct w:val="0"/>
              <w:autoSpaceDE/>
              <w:autoSpaceDN/>
              <w:bidi w:val="0"/>
              <w:adjustRightInd/>
              <w:snapToGrid/>
              <w:spacing w:line="360" w:lineRule="atLeast"/>
              <w:ind w:left="119"/>
              <w:textAlignment w:val="auto"/>
              <w:rPr>
                <w:rFonts w:hint="eastAsia" w:eastAsia="宋体"/>
                <w:color w:val="auto"/>
                <w:spacing w:val="7"/>
                <w:sz w:val="20"/>
                <w:szCs w:val="20"/>
                <w:lang w:val="en-US" w:eastAsia="zh-CN"/>
              </w:rPr>
            </w:pPr>
            <w:r>
              <w:rPr>
                <w:rFonts w:hint="eastAsia"/>
                <w:color w:val="auto"/>
                <w:spacing w:val="7"/>
                <w:sz w:val="20"/>
                <w:szCs w:val="20"/>
                <w:lang w:val="en-US" w:eastAsia="zh-CN"/>
              </w:rPr>
              <w:t>2.离休干部</w:t>
            </w:r>
            <w:r>
              <w:rPr>
                <w:color w:val="auto"/>
                <w:spacing w:val="7"/>
                <w:sz w:val="20"/>
                <w:szCs w:val="20"/>
              </w:rPr>
              <w:t>□</w:t>
            </w:r>
            <w:r>
              <w:rPr>
                <w:rFonts w:hint="eastAsia"/>
                <w:color w:val="auto"/>
                <w:spacing w:val="7"/>
                <w:sz w:val="20"/>
                <w:szCs w:val="20"/>
                <w:lang w:eastAsia="zh-CN"/>
              </w:rPr>
              <w:t>、</w:t>
            </w:r>
            <w:r>
              <w:rPr>
                <w:rFonts w:hint="eastAsia"/>
                <w:color w:val="auto"/>
                <w:spacing w:val="7"/>
                <w:sz w:val="20"/>
                <w:szCs w:val="20"/>
                <w:lang w:val="en-US" w:eastAsia="zh-CN"/>
              </w:rPr>
              <w:t>百岁以上老人</w:t>
            </w:r>
            <w:r>
              <w:rPr>
                <w:rFonts w:hint="eastAsia"/>
                <w:color w:val="auto"/>
                <w:spacing w:val="7"/>
                <w:sz w:val="20"/>
                <w:szCs w:val="20"/>
                <w:lang w:eastAsia="zh-CN"/>
              </w:rPr>
              <w:t>□、</w:t>
            </w:r>
            <w:r>
              <w:rPr>
                <w:rFonts w:hint="eastAsia"/>
                <w:color w:val="auto"/>
                <w:spacing w:val="7"/>
                <w:sz w:val="20"/>
                <w:szCs w:val="20"/>
                <w:lang w:val="en-US" w:eastAsia="zh-CN"/>
              </w:rPr>
              <w:t>服役期间荣立二等功或战时荣立三等功以上的</w:t>
            </w:r>
            <w:r>
              <w:rPr>
                <w:rFonts w:hint="eastAsia"/>
                <w:color w:val="auto"/>
                <w:spacing w:val="7"/>
                <w:sz w:val="20"/>
                <w:szCs w:val="20"/>
              </w:rPr>
              <w:t>退役军人</w:t>
            </w:r>
            <w:r>
              <w:rPr>
                <w:rFonts w:hint="eastAsia"/>
                <w:color w:val="auto"/>
                <w:spacing w:val="7"/>
                <w:sz w:val="20"/>
                <w:szCs w:val="20"/>
                <w:lang w:eastAsia="zh-CN"/>
              </w:rPr>
              <w:t>□、</w:t>
            </w:r>
            <w:r>
              <w:rPr>
                <w:rFonts w:hint="eastAsia"/>
                <w:color w:val="auto"/>
                <w:spacing w:val="7"/>
                <w:sz w:val="20"/>
                <w:szCs w:val="20"/>
                <w:lang w:val="en-US" w:eastAsia="zh-CN"/>
              </w:rPr>
              <w:t>驻牡部队（武警）现役官兵</w:t>
            </w:r>
            <w:r>
              <w:rPr>
                <w:color w:val="auto"/>
                <w:spacing w:val="7"/>
                <w:sz w:val="20"/>
                <w:szCs w:val="20"/>
              </w:rPr>
              <w:t>□</w:t>
            </w:r>
            <w:r>
              <w:rPr>
                <w:rFonts w:hint="eastAsia"/>
                <w:color w:val="auto"/>
                <w:spacing w:val="7"/>
                <w:sz w:val="20"/>
                <w:szCs w:val="20"/>
                <w:lang w:val="en-US" w:eastAsia="zh-CN"/>
              </w:rPr>
              <w:t>、优抚对象</w:t>
            </w:r>
            <w:r>
              <w:rPr>
                <w:color w:val="auto"/>
                <w:spacing w:val="7"/>
                <w:sz w:val="20"/>
                <w:szCs w:val="20"/>
              </w:rPr>
              <w:t>□</w:t>
            </w:r>
            <w:r>
              <w:rPr>
                <w:rFonts w:hint="eastAsia"/>
                <w:color w:val="auto"/>
                <w:spacing w:val="7"/>
                <w:sz w:val="20"/>
                <w:szCs w:val="20"/>
                <w:lang w:val="en-US" w:eastAsia="zh-CN"/>
              </w:rPr>
              <w:t>、见义勇为人员</w:t>
            </w:r>
            <w:r>
              <w:rPr>
                <w:color w:val="auto"/>
                <w:spacing w:val="7"/>
                <w:sz w:val="20"/>
                <w:szCs w:val="20"/>
              </w:rPr>
              <w:t>□</w:t>
            </w:r>
            <w:r>
              <w:rPr>
                <w:rFonts w:hint="eastAsia"/>
                <w:color w:val="auto"/>
                <w:spacing w:val="7"/>
                <w:sz w:val="20"/>
                <w:szCs w:val="20"/>
                <w:lang w:eastAsia="zh-CN"/>
              </w:rPr>
              <w:t>、</w:t>
            </w:r>
            <w:r>
              <w:rPr>
                <w:rFonts w:hint="eastAsia"/>
                <w:color w:val="auto"/>
                <w:spacing w:val="7"/>
                <w:sz w:val="20"/>
                <w:szCs w:val="20"/>
                <w:lang w:val="en-US" w:eastAsia="zh-CN"/>
              </w:rPr>
              <w:t>见义勇为牺牲人员</w:t>
            </w:r>
            <w:r>
              <w:rPr>
                <w:color w:val="auto"/>
                <w:spacing w:val="7"/>
                <w:sz w:val="20"/>
                <w:szCs w:val="20"/>
              </w:rPr>
              <w:t>□、因公牺牲人</w:t>
            </w:r>
            <w:r>
              <w:rPr>
                <w:rFonts w:hint="eastAsia"/>
                <w:color w:val="auto"/>
                <w:spacing w:val="7"/>
                <w:sz w:val="20"/>
                <w:szCs w:val="20"/>
                <w:lang w:val="en-US" w:eastAsia="zh-CN"/>
              </w:rPr>
              <w:t>员</w:t>
            </w:r>
            <w:r>
              <w:rPr>
                <w:rFonts w:hint="eastAsia"/>
                <w:color w:val="auto"/>
                <w:spacing w:val="7"/>
                <w:sz w:val="20"/>
                <w:szCs w:val="20"/>
                <w:lang w:eastAsia="zh-CN"/>
              </w:rPr>
              <w:t>□、</w:t>
            </w:r>
            <w:r>
              <w:rPr>
                <w:rFonts w:hint="eastAsia"/>
                <w:color w:val="auto"/>
                <w:spacing w:val="7"/>
                <w:sz w:val="20"/>
                <w:szCs w:val="20"/>
                <w:lang w:val="en-US" w:eastAsia="zh-CN"/>
              </w:rPr>
              <w:t>烈士</w:t>
            </w:r>
            <w:r>
              <w:rPr>
                <w:color w:val="auto"/>
                <w:spacing w:val="7"/>
                <w:sz w:val="20"/>
                <w:szCs w:val="20"/>
              </w:rPr>
              <w:t>□</w:t>
            </w:r>
            <w:r>
              <w:rPr>
                <w:rFonts w:hint="eastAsia"/>
                <w:color w:val="auto"/>
                <w:spacing w:val="7"/>
                <w:sz w:val="20"/>
                <w:szCs w:val="20"/>
                <w:lang w:eastAsia="zh-CN"/>
              </w:rPr>
              <w:t>、</w:t>
            </w:r>
            <w:r>
              <w:rPr>
                <w:rFonts w:hint="eastAsia"/>
                <w:color w:val="auto"/>
                <w:spacing w:val="7"/>
                <w:sz w:val="20"/>
                <w:szCs w:val="20"/>
                <w:lang w:val="en-US" w:eastAsia="zh-CN"/>
              </w:rPr>
              <w:t>其他褒奖对象</w:t>
            </w:r>
            <w:r>
              <w:rPr>
                <w:color w:val="auto"/>
                <w:spacing w:val="7"/>
                <w:sz w:val="20"/>
                <w:szCs w:val="20"/>
              </w:rPr>
              <w:t>□</w:t>
            </w:r>
            <w:r>
              <w:rPr>
                <w:rFonts w:hint="eastAsia"/>
                <w:color w:val="auto"/>
                <w:spacing w:val="7"/>
                <w:sz w:val="20"/>
                <w:szCs w:val="20"/>
                <w:lang w:eastAsia="zh-CN"/>
              </w:rPr>
              <w:t>。</w:t>
            </w:r>
          </w:p>
          <w:p w14:paraId="268FD8BB">
            <w:pPr>
              <w:pStyle w:val="10"/>
              <w:keepNext w:val="0"/>
              <w:keepLines w:val="0"/>
              <w:pageBreakBefore w:val="0"/>
              <w:widowControl w:val="0"/>
              <w:kinsoku/>
              <w:wordWrap/>
              <w:overflowPunct/>
              <w:topLinePunct w:val="0"/>
              <w:autoSpaceDE/>
              <w:autoSpaceDN/>
              <w:bidi w:val="0"/>
              <w:adjustRightInd/>
              <w:snapToGrid/>
              <w:spacing w:line="360" w:lineRule="atLeast"/>
              <w:ind w:left="119"/>
              <w:textAlignment w:val="auto"/>
              <w:rPr>
                <w:color w:val="auto"/>
                <w:sz w:val="18"/>
                <w:szCs w:val="18"/>
              </w:rPr>
            </w:pPr>
            <w:r>
              <w:rPr>
                <w:rFonts w:hint="eastAsia"/>
                <w:color w:val="auto"/>
                <w:spacing w:val="7"/>
                <w:sz w:val="20"/>
                <w:szCs w:val="20"/>
                <w:lang w:val="en-US" w:eastAsia="zh-CN"/>
              </w:rPr>
              <w:t>3.</w:t>
            </w:r>
            <w:r>
              <w:rPr>
                <w:color w:val="auto"/>
                <w:spacing w:val="7"/>
                <w:sz w:val="20"/>
                <w:szCs w:val="20"/>
              </w:rPr>
              <w:t>参保差额减免人员□ 、未参保人员□</w:t>
            </w:r>
          </w:p>
        </w:tc>
      </w:tr>
      <w:tr w14:paraId="4CE2A4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8" w:hRule="atLeast"/>
        </w:trPr>
        <w:tc>
          <w:tcPr>
            <w:tcW w:w="728" w:type="dxa"/>
            <w:vMerge w:val="continue"/>
            <w:tcBorders>
              <w:top w:val="nil"/>
            </w:tcBorders>
            <w:textDirection w:val="tbRlV"/>
            <w:vAlign w:val="top"/>
          </w:tcPr>
          <w:p w14:paraId="577D94E8">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tc>
        <w:tc>
          <w:tcPr>
            <w:tcW w:w="8337" w:type="dxa"/>
            <w:gridSpan w:val="8"/>
            <w:vAlign w:val="top"/>
          </w:tcPr>
          <w:p w14:paraId="0E90C5EE">
            <w:pPr>
              <w:pStyle w:val="10"/>
              <w:keepNext w:val="0"/>
              <w:keepLines w:val="0"/>
              <w:pageBreakBefore w:val="0"/>
              <w:widowControl w:val="0"/>
              <w:kinsoku/>
              <w:wordWrap/>
              <w:overflowPunct/>
              <w:topLinePunct w:val="0"/>
              <w:autoSpaceDE/>
              <w:autoSpaceDN/>
              <w:bidi w:val="0"/>
              <w:adjustRightInd/>
              <w:snapToGrid/>
              <w:spacing w:line="360" w:lineRule="atLeast"/>
              <w:ind w:left="129" w:right="108" w:firstLine="403"/>
              <w:textAlignment w:val="auto"/>
              <w:rPr>
                <w:rFonts w:ascii="Arial"/>
                <w:color w:val="auto"/>
                <w:sz w:val="21"/>
              </w:rPr>
            </w:pPr>
            <w:r>
              <w:rPr>
                <w:color w:val="auto"/>
                <w:spacing w:val="8"/>
              </w:rPr>
              <w:t>本人承诺以上所填资料和所提供的相关证明材料真实，对因造假、谎</w:t>
            </w:r>
            <w:r>
              <w:rPr>
                <w:color w:val="auto"/>
                <w:spacing w:val="7"/>
              </w:rPr>
              <w:t>报、欺骗而造成的后果，本人承担一切责任。</w:t>
            </w:r>
          </w:p>
          <w:p w14:paraId="3B7321E5">
            <w:pPr>
              <w:pStyle w:val="10"/>
              <w:keepNext w:val="0"/>
              <w:keepLines w:val="0"/>
              <w:pageBreakBefore w:val="0"/>
              <w:widowControl w:val="0"/>
              <w:kinsoku/>
              <w:wordWrap/>
              <w:overflowPunct/>
              <w:topLinePunct w:val="0"/>
              <w:autoSpaceDE/>
              <w:autoSpaceDN/>
              <w:bidi w:val="0"/>
              <w:adjustRightInd/>
              <w:snapToGrid/>
              <w:spacing w:line="360" w:lineRule="atLeast"/>
              <w:ind w:left="559"/>
              <w:textAlignment w:val="auto"/>
              <w:rPr>
                <w:color w:val="auto"/>
              </w:rPr>
            </w:pPr>
            <w:r>
              <w:rPr>
                <w:color w:val="auto"/>
                <w:spacing w:val="1"/>
              </w:rPr>
              <w:t>申请人签名：                                             年</w:t>
            </w:r>
            <w:r>
              <w:rPr>
                <w:color w:val="auto"/>
                <w:spacing w:val="7"/>
              </w:rPr>
              <w:t xml:space="preserve">      </w:t>
            </w:r>
            <w:r>
              <w:rPr>
                <w:color w:val="auto"/>
                <w:spacing w:val="1"/>
              </w:rPr>
              <w:t xml:space="preserve">月 </w:t>
            </w:r>
            <w:r>
              <w:rPr>
                <w:color w:val="auto"/>
              </w:rPr>
              <w:t xml:space="preserve">      日</w:t>
            </w:r>
          </w:p>
        </w:tc>
      </w:tr>
      <w:tr w14:paraId="161D60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35" w:hRule="atLeast"/>
        </w:trPr>
        <w:tc>
          <w:tcPr>
            <w:tcW w:w="728" w:type="dxa"/>
            <w:tcBorders>
              <w:top w:val="single" w:color="auto" w:sz="4" w:space="0"/>
              <w:left w:val="single" w:color="auto" w:sz="4" w:space="0"/>
              <w:bottom w:val="single" w:color="auto" w:sz="4" w:space="0"/>
            </w:tcBorders>
            <w:vAlign w:val="center"/>
          </w:tcPr>
          <w:p w14:paraId="4B277C82">
            <w:pPr>
              <w:pStyle w:val="10"/>
              <w:keepNext w:val="0"/>
              <w:keepLines w:val="0"/>
              <w:pageBreakBefore w:val="0"/>
              <w:widowControl w:val="0"/>
              <w:kinsoku/>
              <w:wordWrap/>
              <w:overflowPunct/>
              <w:topLinePunct w:val="0"/>
              <w:autoSpaceDE/>
              <w:autoSpaceDN/>
              <w:bidi w:val="0"/>
              <w:adjustRightInd/>
              <w:snapToGrid/>
              <w:spacing w:line="360" w:lineRule="atLeast"/>
              <w:jc w:val="center"/>
              <w:textAlignment w:val="auto"/>
              <w:rPr>
                <w:color w:val="auto"/>
              </w:rPr>
            </w:pPr>
            <w:r>
              <w:rPr>
                <w:color w:val="auto"/>
                <w:spacing w:val="4"/>
              </w:rPr>
              <w:t>殡葬</w:t>
            </w:r>
          </w:p>
          <w:p w14:paraId="056FAFDA">
            <w:pPr>
              <w:pStyle w:val="10"/>
              <w:keepNext w:val="0"/>
              <w:keepLines w:val="0"/>
              <w:pageBreakBefore w:val="0"/>
              <w:widowControl w:val="0"/>
              <w:kinsoku/>
              <w:wordWrap/>
              <w:overflowPunct/>
              <w:topLinePunct w:val="0"/>
              <w:autoSpaceDE/>
              <w:autoSpaceDN/>
              <w:bidi w:val="0"/>
              <w:adjustRightInd/>
              <w:snapToGrid/>
              <w:spacing w:line="360" w:lineRule="atLeast"/>
              <w:jc w:val="center"/>
              <w:textAlignment w:val="auto"/>
              <w:rPr>
                <w:color w:val="auto"/>
              </w:rPr>
            </w:pPr>
            <w:r>
              <w:rPr>
                <w:color w:val="auto"/>
                <w:spacing w:val="4"/>
              </w:rPr>
              <w:t>服务</w:t>
            </w:r>
          </w:p>
          <w:p w14:paraId="685661EE">
            <w:pPr>
              <w:pStyle w:val="10"/>
              <w:keepNext w:val="0"/>
              <w:keepLines w:val="0"/>
              <w:pageBreakBefore w:val="0"/>
              <w:widowControl w:val="0"/>
              <w:kinsoku/>
              <w:wordWrap/>
              <w:overflowPunct/>
              <w:topLinePunct w:val="0"/>
              <w:autoSpaceDE/>
              <w:autoSpaceDN/>
              <w:bidi w:val="0"/>
              <w:adjustRightInd/>
              <w:snapToGrid/>
              <w:spacing w:line="360" w:lineRule="atLeast"/>
              <w:jc w:val="center"/>
              <w:textAlignment w:val="auto"/>
              <w:rPr>
                <w:rFonts w:hint="eastAsia" w:eastAsia="宋体"/>
                <w:color w:val="auto"/>
                <w:lang w:val="en-US" w:eastAsia="zh-CN"/>
              </w:rPr>
            </w:pPr>
            <w:r>
              <w:rPr>
                <w:rFonts w:hint="eastAsia"/>
                <w:color w:val="auto"/>
                <w:lang w:val="en-US" w:eastAsia="zh-CN"/>
              </w:rPr>
              <w:t>单位</w:t>
            </w:r>
          </w:p>
          <w:p w14:paraId="3EF32862">
            <w:pPr>
              <w:pStyle w:val="10"/>
              <w:keepNext w:val="0"/>
              <w:keepLines w:val="0"/>
              <w:pageBreakBefore w:val="0"/>
              <w:widowControl w:val="0"/>
              <w:kinsoku/>
              <w:wordWrap/>
              <w:overflowPunct/>
              <w:topLinePunct w:val="0"/>
              <w:autoSpaceDE/>
              <w:autoSpaceDN/>
              <w:bidi w:val="0"/>
              <w:adjustRightInd/>
              <w:snapToGrid/>
              <w:spacing w:line="360" w:lineRule="atLeast"/>
              <w:jc w:val="center"/>
              <w:textAlignment w:val="auto"/>
              <w:rPr>
                <w:color w:val="auto"/>
              </w:rPr>
            </w:pPr>
            <w:r>
              <w:rPr>
                <w:color w:val="auto"/>
                <w:spacing w:val="1"/>
              </w:rPr>
              <w:t>审核</w:t>
            </w:r>
          </w:p>
          <w:p w14:paraId="1042701D">
            <w:pPr>
              <w:pStyle w:val="10"/>
              <w:keepNext w:val="0"/>
              <w:keepLines w:val="0"/>
              <w:pageBreakBefore w:val="0"/>
              <w:widowControl w:val="0"/>
              <w:kinsoku/>
              <w:wordWrap/>
              <w:overflowPunct/>
              <w:topLinePunct w:val="0"/>
              <w:autoSpaceDE/>
              <w:autoSpaceDN/>
              <w:bidi w:val="0"/>
              <w:adjustRightInd/>
              <w:snapToGrid/>
              <w:spacing w:line="360" w:lineRule="atLeast"/>
              <w:jc w:val="center"/>
              <w:textAlignment w:val="auto"/>
              <w:rPr>
                <w:color w:val="auto"/>
              </w:rPr>
            </w:pPr>
            <w:r>
              <w:rPr>
                <w:color w:val="auto"/>
                <w:spacing w:val="2"/>
              </w:rPr>
              <w:t>意见</w:t>
            </w:r>
          </w:p>
        </w:tc>
        <w:tc>
          <w:tcPr>
            <w:tcW w:w="4074" w:type="dxa"/>
            <w:gridSpan w:val="3"/>
            <w:tcBorders>
              <w:top w:val="single" w:color="auto" w:sz="4" w:space="0"/>
              <w:bottom w:val="single" w:color="auto" w:sz="4" w:space="0"/>
              <w:right w:val="single" w:color="auto" w:sz="4" w:space="0"/>
            </w:tcBorders>
            <w:vAlign w:val="top"/>
          </w:tcPr>
          <w:p w14:paraId="2BF9D980">
            <w:pPr>
              <w:pStyle w:val="10"/>
              <w:keepNext w:val="0"/>
              <w:keepLines w:val="0"/>
              <w:pageBreakBefore w:val="0"/>
              <w:widowControl w:val="0"/>
              <w:kinsoku/>
              <w:wordWrap/>
              <w:overflowPunct/>
              <w:topLinePunct w:val="0"/>
              <w:autoSpaceDE/>
              <w:autoSpaceDN/>
              <w:bidi w:val="0"/>
              <w:adjustRightInd/>
              <w:snapToGrid/>
              <w:spacing w:line="360" w:lineRule="atLeast"/>
              <w:ind w:left="111"/>
              <w:textAlignment w:val="auto"/>
              <w:rPr>
                <w:color w:val="auto"/>
              </w:rPr>
            </w:pPr>
            <w:r>
              <w:rPr>
                <w:color w:val="auto"/>
                <w:spacing w:val="7"/>
              </w:rPr>
              <w:t>业务承办人意见：</w:t>
            </w:r>
          </w:p>
          <w:p w14:paraId="2F14E215">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p w14:paraId="0F08D5F4">
            <w:pPr>
              <w:pStyle w:val="10"/>
              <w:keepNext w:val="0"/>
              <w:keepLines w:val="0"/>
              <w:pageBreakBefore w:val="0"/>
              <w:widowControl w:val="0"/>
              <w:kinsoku/>
              <w:wordWrap/>
              <w:overflowPunct/>
              <w:topLinePunct w:val="0"/>
              <w:autoSpaceDE/>
              <w:autoSpaceDN/>
              <w:bidi w:val="0"/>
              <w:adjustRightInd/>
              <w:snapToGrid/>
              <w:spacing w:line="360" w:lineRule="atLeast"/>
              <w:ind w:left="740"/>
              <w:textAlignment w:val="auto"/>
              <w:rPr>
                <w:rFonts w:ascii="Arial"/>
                <w:color w:val="auto"/>
                <w:sz w:val="21"/>
              </w:rPr>
            </w:pPr>
            <w:r>
              <w:rPr>
                <w:color w:val="auto"/>
                <w:spacing w:val="3"/>
              </w:rPr>
              <w:t>签字：</w:t>
            </w:r>
          </w:p>
          <w:p w14:paraId="79D3515E">
            <w:pPr>
              <w:pStyle w:val="10"/>
              <w:keepNext w:val="0"/>
              <w:keepLines w:val="0"/>
              <w:pageBreakBefore w:val="0"/>
              <w:widowControl w:val="0"/>
              <w:kinsoku/>
              <w:wordWrap/>
              <w:overflowPunct/>
              <w:topLinePunct w:val="0"/>
              <w:autoSpaceDE/>
              <w:autoSpaceDN/>
              <w:bidi w:val="0"/>
              <w:adjustRightInd/>
              <w:snapToGrid/>
              <w:spacing w:line="360" w:lineRule="atLeast"/>
              <w:textAlignment w:val="auto"/>
              <w:rPr>
                <w:color w:val="auto"/>
                <w:spacing w:val="-2"/>
              </w:rPr>
            </w:pPr>
          </w:p>
          <w:p w14:paraId="47DF0081">
            <w:pPr>
              <w:pStyle w:val="10"/>
              <w:keepNext w:val="0"/>
              <w:keepLines w:val="0"/>
              <w:pageBreakBefore w:val="0"/>
              <w:widowControl w:val="0"/>
              <w:kinsoku/>
              <w:wordWrap/>
              <w:overflowPunct/>
              <w:topLinePunct w:val="0"/>
              <w:autoSpaceDE/>
              <w:autoSpaceDN/>
              <w:bidi w:val="0"/>
              <w:adjustRightInd/>
              <w:snapToGrid/>
              <w:spacing w:line="360" w:lineRule="atLeast"/>
              <w:ind w:left="2107" w:leftChars="0"/>
              <w:textAlignment w:val="auto"/>
              <w:rPr>
                <w:color w:val="auto"/>
              </w:rPr>
            </w:pPr>
            <w:r>
              <w:rPr>
                <w:color w:val="auto"/>
                <w:spacing w:val="-2"/>
              </w:rPr>
              <w:t>年</w:t>
            </w:r>
            <w:r>
              <w:rPr>
                <w:color w:val="auto"/>
                <w:spacing w:val="7"/>
              </w:rPr>
              <w:t xml:space="preserve">      </w:t>
            </w:r>
            <w:r>
              <w:rPr>
                <w:color w:val="auto"/>
                <w:spacing w:val="-2"/>
              </w:rPr>
              <w:t>月</w:t>
            </w:r>
            <w:r>
              <w:rPr>
                <w:color w:val="auto"/>
                <w:spacing w:val="14"/>
              </w:rPr>
              <w:t xml:space="preserve">     </w:t>
            </w:r>
            <w:r>
              <w:rPr>
                <w:color w:val="auto"/>
                <w:spacing w:val="-2"/>
              </w:rPr>
              <w:t>日</w:t>
            </w:r>
          </w:p>
        </w:tc>
        <w:tc>
          <w:tcPr>
            <w:tcW w:w="4263" w:type="dxa"/>
            <w:gridSpan w:val="5"/>
            <w:tcBorders>
              <w:left w:val="single" w:color="auto" w:sz="4" w:space="0"/>
            </w:tcBorders>
            <w:vAlign w:val="top"/>
          </w:tcPr>
          <w:p w14:paraId="1087E753">
            <w:pPr>
              <w:pStyle w:val="10"/>
              <w:keepNext w:val="0"/>
              <w:keepLines w:val="0"/>
              <w:pageBreakBefore w:val="0"/>
              <w:widowControl w:val="0"/>
              <w:kinsoku/>
              <w:wordWrap/>
              <w:overflowPunct/>
              <w:topLinePunct w:val="0"/>
              <w:autoSpaceDE/>
              <w:autoSpaceDN/>
              <w:bidi w:val="0"/>
              <w:adjustRightInd/>
              <w:snapToGrid/>
              <w:spacing w:line="360" w:lineRule="atLeast"/>
              <w:ind w:left="115"/>
              <w:textAlignment w:val="auto"/>
              <w:rPr>
                <w:color w:val="auto"/>
              </w:rPr>
            </w:pPr>
            <w:r>
              <w:rPr>
                <w:rFonts w:hint="eastAsia"/>
                <w:color w:val="auto"/>
                <w:spacing w:val="8"/>
                <w:lang w:val="en-US" w:eastAsia="zh-CN"/>
              </w:rPr>
              <w:t>殡葬服务单位审核</w:t>
            </w:r>
            <w:r>
              <w:rPr>
                <w:color w:val="auto"/>
                <w:spacing w:val="8"/>
              </w:rPr>
              <w:t>意见：</w:t>
            </w:r>
          </w:p>
          <w:p w14:paraId="1A627FC6">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p w14:paraId="5A10929E">
            <w:pPr>
              <w:pStyle w:val="10"/>
              <w:keepNext w:val="0"/>
              <w:keepLines w:val="0"/>
              <w:pageBreakBefore w:val="0"/>
              <w:widowControl w:val="0"/>
              <w:kinsoku/>
              <w:wordWrap/>
              <w:overflowPunct/>
              <w:topLinePunct w:val="0"/>
              <w:autoSpaceDE/>
              <w:autoSpaceDN/>
              <w:bidi w:val="0"/>
              <w:adjustRightInd/>
              <w:snapToGrid/>
              <w:spacing w:line="360" w:lineRule="atLeast"/>
              <w:ind w:left="1270"/>
              <w:textAlignment w:val="auto"/>
              <w:rPr>
                <w:rFonts w:ascii="Arial"/>
                <w:color w:val="auto"/>
                <w:sz w:val="21"/>
              </w:rPr>
            </w:pPr>
            <w:r>
              <w:rPr>
                <w:color w:val="auto"/>
                <w:spacing w:val="3"/>
              </w:rPr>
              <w:t>签字：</w:t>
            </w:r>
          </w:p>
          <w:p w14:paraId="0D90E19E">
            <w:pPr>
              <w:pStyle w:val="10"/>
              <w:keepNext w:val="0"/>
              <w:keepLines w:val="0"/>
              <w:pageBreakBefore w:val="0"/>
              <w:widowControl w:val="0"/>
              <w:kinsoku/>
              <w:wordWrap/>
              <w:overflowPunct/>
              <w:topLinePunct w:val="0"/>
              <w:autoSpaceDE/>
              <w:autoSpaceDN/>
              <w:bidi w:val="0"/>
              <w:adjustRightInd/>
              <w:snapToGrid/>
              <w:spacing w:line="360" w:lineRule="atLeast"/>
              <w:ind w:left="2216" w:leftChars="0"/>
              <w:textAlignment w:val="auto"/>
              <w:rPr>
                <w:color w:val="auto"/>
                <w:spacing w:val="-2"/>
              </w:rPr>
            </w:pPr>
          </w:p>
          <w:p w14:paraId="5F14DBF8">
            <w:pPr>
              <w:pStyle w:val="10"/>
              <w:keepNext w:val="0"/>
              <w:keepLines w:val="0"/>
              <w:pageBreakBefore w:val="0"/>
              <w:widowControl w:val="0"/>
              <w:kinsoku/>
              <w:wordWrap/>
              <w:overflowPunct/>
              <w:topLinePunct w:val="0"/>
              <w:autoSpaceDE/>
              <w:autoSpaceDN/>
              <w:bidi w:val="0"/>
              <w:adjustRightInd/>
              <w:snapToGrid/>
              <w:spacing w:line="360" w:lineRule="atLeast"/>
              <w:ind w:left="2216" w:leftChars="0"/>
              <w:textAlignment w:val="auto"/>
              <w:rPr>
                <w:color w:val="auto"/>
              </w:rPr>
            </w:pPr>
            <w:r>
              <w:rPr>
                <w:color w:val="auto"/>
                <w:spacing w:val="-2"/>
              </w:rPr>
              <w:t>年</w:t>
            </w:r>
            <w:r>
              <w:rPr>
                <w:color w:val="auto"/>
                <w:spacing w:val="7"/>
              </w:rPr>
              <w:t xml:space="preserve">      </w:t>
            </w:r>
            <w:r>
              <w:rPr>
                <w:color w:val="auto"/>
                <w:spacing w:val="-2"/>
              </w:rPr>
              <w:t>月</w:t>
            </w:r>
            <w:r>
              <w:rPr>
                <w:color w:val="auto"/>
                <w:spacing w:val="13"/>
              </w:rPr>
              <w:t xml:space="preserve">      </w:t>
            </w:r>
            <w:r>
              <w:rPr>
                <w:color w:val="auto"/>
                <w:spacing w:val="-2"/>
              </w:rPr>
              <w:t>日</w:t>
            </w:r>
          </w:p>
        </w:tc>
      </w:tr>
      <w:tr w14:paraId="13C0FA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8" w:hRule="atLeast"/>
        </w:trPr>
        <w:tc>
          <w:tcPr>
            <w:tcW w:w="728" w:type="dxa"/>
            <w:vAlign w:val="top"/>
          </w:tcPr>
          <w:p w14:paraId="16D3A6E8">
            <w:pPr>
              <w:keepNext w:val="0"/>
              <w:keepLines w:val="0"/>
              <w:pageBreakBefore w:val="0"/>
              <w:widowControl w:val="0"/>
              <w:kinsoku/>
              <w:wordWrap/>
              <w:overflowPunct/>
              <w:topLinePunct w:val="0"/>
              <w:autoSpaceDE/>
              <w:autoSpaceDN/>
              <w:bidi w:val="0"/>
              <w:adjustRightInd/>
              <w:snapToGrid/>
              <w:spacing w:line="360" w:lineRule="atLeast"/>
              <w:textAlignment w:val="auto"/>
              <w:rPr>
                <w:rFonts w:ascii="Arial"/>
                <w:color w:val="auto"/>
                <w:sz w:val="21"/>
              </w:rPr>
            </w:pPr>
          </w:p>
          <w:p w14:paraId="040DB652">
            <w:pPr>
              <w:pStyle w:val="10"/>
              <w:keepNext w:val="0"/>
              <w:keepLines w:val="0"/>
              <w:pageBreakBefore w:val="0"/>
              <w:widowControl w:val="0"/>
              <w:kinsoku/>
              <w:wordWrap/>
              <w:overflowPunct/>
              <w:topLinePunct w:val="0"/>
              <w:autoSpaceDE/>
              <w:autoSpaceDN/>
              <w:bidi w:val="0"/>
              <w:adjustRightInd/>
              <w:snapToGrid/>
              <w:spacing w:line="360" w:lineRule="atLeast"/>
              <w:ind w:left="164"/>
              <w:textAlignment w:val="auto"/>
              <w:rPr>
                <w:color w:val="auto"/>
              </w:rPr>
            </w:pPr>
            <w:r>
              <w:rPr>
                <w:color w:val="auto"/>
                <w:spacing w:val="3"/>
              </w:rPr>
              <w:t>获得</w:t>
            </w:r>
          </w:p>
          <w:p w14:paraId="0D8ED5FB">
            <w:pPr>
              <w:pStyle w:val="10"/>
              <w:keepNext w:val="0"/>
              <w:keepLines w:val="0"/>
              <w:pageBreakBefore w:val="0"/>
              <w:widowControl w:val="0"/>
              <w:kinsoku/>
              <w:wordWrap/>
              <w:overflowPunct/>
              <w:topLinePunct w:val="0"/>
              <w:autoSpaceDE/>
              <w:autoSpaceDN/>
              <w:bidi w:val="0"/>
              <w:adjustRightInd/>
              <w:snapToGrid/>
              <w:spacing w:line="360" w:lineRule="atLeast"/>
              <w:ind w:left="160"/>
              <w:textAlignment w:val="auto"/>
              <w:rPr>
                <w:color w:val="auto"/>
              </w:rPr>
            </w:pPr>
            <w:r>
              <w:rPr>
                <w:color w:val="auto"/>
                <w:spacing w:val="4"/>
              </w:rPr>
              <w:t>减免</w:t>
            </w:r>
          </w:p>
          <w:p w14:paraId="1BF4203E">
            <w:pPr>
              <w:pStyle w:val="10"/>
              <w:keepNext w:val="0"/>
              <w:keepLines w:val="0"/>
              <w:pageBreakBefore w:val="0"/>
              <w:widowControl w:val="0"/>
              <w:kinsoku/>
              <w:wordWrap/>
              <w:overflowPunct/>
              <w:topLinePunct w:val="0"/>
              <w:autoSpaceDE/>
              <w:autoSpaceDN/>
              <w:bidi w:val="0"/>
              <w:adjustRightInd/>
              <w:snapToGrid/>
              <w:spacing w:line="360" w:lineRule="atLeast"/>
              <w:ind w:left="159"/>
              <w:textAlignment w:val="auto"/>
              <w:rPr>
                <w:color w:val="auto"/>
              </w:rPr>
            </w:pPr>
            <w:r>
              <w:rPr>
                <w:color w:val="auto"/>
                <w:spacing w:val="5"/>
              </w:rPr>
              <w:t>情况</w:t>
            </w:r>
          </w:p>
        </w:tc>
        <w:tc>
          <w:tcPr>
            <w:tcW w:w="8337" w:type="dxa"/>
            <w:gridSpan w:val="8"/>
            <w:vAlign w:val="center"/>
          </w:tcPr>
          <w:p w14:paraId="0CE6D6FB">
            <w:pPr>
              <w:pStyle w:val="10"/>
              <w:keepNext w:val="0"/>
              <w:keepLines w:val="0"/>
              <w:pageBreakBefore w:val="0"/>
              <w:widowControl w:val="0"/>
              <w:kinsoku/>
              <w:wordWrap/>
              <w:overflowPunct/>
              <w:topLinePunct w:val="0"/>
              <w:autoSpaceDE/>
              <w:autoSpaceDN/>
              <w:bidi w:val="0"/>
              <w:adjustRightInd/>
              <w:snapToGrid/>
              <w:spacing w:line="360" w:lineRule="atLeast"/>
              <w:ind w:right="108" w:firstLine="432" w:firstLineChars="200"/>
              <w:jc w:val="both"/>
              <w:textAlignment w:val="auto"/>
              <w:rPr>
                <w:color w:val="auto"/>
              </w:rPr>
            </w:pPr>
            <w:r>
              <w:rPr>
                <w:color w:val="auto"/>
                <w:spacing w:val="8"/>
              </w:rPr>
              <w:t>逝者符合《</w:t>
            </w:r>
            <w:r>
              <w:rPr>
                <w:rFonts w:hint="eastAsia"/>
                <w:color w:val="auto"/>
                <w:spacing w:val="8"/>
              </w:rPr>
              <w:t>牡丹江市城区（含海林市）户籍居民殡葬服务费用减免实施办法</w:t>
            </w:r>
            <w:r>
              <w:rPr>
                <w:color w:val="auto"/>
                <w:spacing w:val="8"/>
              </w:rPr>
              <w:t>》，可享受殡葬惠民减免共</w:t>
            </w:r>
            <w:r>
              <w:rPr>
                <w:color w:val="auto"/>
                <w:spacing w:val="-4"/>
              </w:rPr>
              <w:t>计</w:t>
            </w:r>
            <w:r>
              <w:rPr>
                <w:color w:val="auto"/>
                <w:spacing w:val="4"/>
                <w:u w:val="single" w:color="auto"/>
              </w:rPr>
              <w:t xml:space="preserve">     </w:t>
            </w:r>
            <w:r>
              <w:rPr>
                <w:rFonts w:hint="eastAsia"/>
                <w:color w:val="auto"/>
                <w:spacing w:val="4"/>
                <w:u w:val="single" w:color="auto"/>
                <w:lang w:val="en-US" w:eastAsia="zh-CN"/>
              </w:rPr>
              <w:t xml:space="preserve">       </w:t>
            </w:r>
            <w:r>
              <w:rPr>
                <w:color w:val="auto"/>
                <w:spacing w:val="4"/>
                <w:u w:val="single" w:color="auto"/>
              </w:rPr>
              <w:t xml:space="preserve">  </w:t>
            </w:r>
            <w:r>
              <w:rPr>
                <w:color w:val="auto"/>
                <w:spacing w:val="-4"/>
              </w:rPr>
              <w:t>元</w:t>
            </w:r>
            <w:r>
              <w:rPr>
                <w:rFonts w:hint="eastAsia"/>
                <w:color w:val="auto"/>
                <w:spacing w:val="-4"/>
                <w:lang w:val="en-US" w:eastAsia="zh-CN"/>
              </w:rPr>
              <w:t>整</w:t>
            </w:r>
            <w:r>
              <w:rPr>
                <w:color w:val="auto"/>
                <w:spacing w:val="-4"/>
              </w:rPr>
              <w:t>。</w:t>
            </w:r>
          </w:p>
          <w:p w14:paraId="6047ABBE">
            <w:pPr>
              <w:pStyle w:val="10"/>
              <w:keepNext w:val="0"/>
              <w:keepLines w:val="0"/>
              <w:pageBreakBefore w:val="0"/>
              <w:widowControl w:val="0"/>
              <w:kinsoku/>
              <w:wordWrap/>
              <w:overflowPunct/>
              <w:topLinePunct w:val="0"/>
              <w:autoSpaceDE/>
              <w:autoSpaceDN/>
              <w:bidi w:val="0"/>
              <w:adjustRightInd/>
              <w:snapToGrid/>
              <w:spacing w:line="360" w:lineRule="atLeast"/>
              <w:ind w:firstLine="432" w:firstLineChars="200"/>
              <w:jc w:val="both"/>
              <w:textAlignment w:val="auto"/>
              <w:rPr>
                <w:rFonts w:hint="default" w:eastAsia="宋体"/>
                <w:color w:val="auto"/>
                <w:lang w:val="en-US" w:eastAsia="zh-CN"/>
              </w:rPr>
            </w:pPr>
            <w:r>
              <w:rPr>
                <w:rFonts w:hint="eastAsia"/>
                <w:color w:val="auto"/>
                <w:spacing w:val="8"/>
              </w:rPr>
              <w:t>因证件不全或对现场资格认定结果有异议的，丧事承办人需先行支付费用，并在5个工作日内提供有关证明办理退费，超过5</w:t>
            </w:r>
            <w:r>
              <w:rPr>
                <w:rFonts w:hint="eastAsia"/>
                <w:color w:val="auto"/>
                <w:spacing w:val="8"/>
                <w:lang w:val="en-US" w:eastAsia="zh-CN"/>
              </w:rPr>
              <w:t>个工作</w:t>
            </w:r>
            <w:r>
              <w:rPr>
                <w:rFonts w:hint="eastAsia"/>
                <w:color w:val="auto"/>
                <w:spacing w:val="8"/>
              </w:rPr>
              <w:t>日</w:t>
            </w:r>
            <w:r>
              <w:rPr>
                <w:rFonts w:hint="eastAsia"/>
                <w:color w:val="auto"/>
                <w:spacing w:val="8"/>
                <w:lang w:val="en-US" w:eastAsia="zh-CN"/>
              </w:rPr>
              <w:t>视为自动放弃。</w:t>
            </w:r>
          </w:p>
        </w:tc>
      </w:tr>
    </w:tbl>
    <w:p w14:paraId="5A18B919">
      <w:pPr>
        <w:keepNext w:val="0"/>
        <w:keepLines w:val="0"/>
        <w:pageBreakBefore w:val="0"/>
        <w:widowControl w:val="0"/>
        <w:kinsoku/>
        <w:wordWrap/>
        <w:overflowPunct/>
        <w:topLinePunct w:val="0"/>
        <w:autoSpaceDE/>
        <w:autoSpaceDN/>
        <w:bidi w:val="0"/>
        <w:adjustRightInd/>
        <w:snapToGrid/>
        <w:spacing w:line="360" w:lineRule="auto"/>
        <w:ind w:firstLine="396" w:firstLineChars="200"/>
        <w:textAlignment w:val="auto"/>
        <w:rPr>
          <w:rFonts w:ascii="宋体" w:hAnsi="宋体" w:eastAsia="宋体" w:cs="宋体"/>
          <w:color w:val="auto"/>
          <w:sz w:val="18"/>
          <w:szCs w:val="18"/>
        </w:rPr>
      </w:pPr>
      <w:r>
        <w:rPr>
          <w:rFonts w:ascii="宋体" w:hAnsi="宋体" w:eastAsia="宋体" w:cs="宋体"/>
          <w:color w:val="auto"/>
          <w:spacing w:val="9"/>
          <w:sz w:val="18"/>
          <w:szCs w:val="18"/>
        </w:rPr>
        <w:t>备注：1.申请人姓名应与殡葬服务</w:t>
      </w:r>
      <w:r>
        <w:rPr>
          <w:rFonts w:hint="eastAsia" w:ascii="宋体" w:hAnsi="宋体" w:eastAsia="宋体" w:cs="宋体"/>
          <w:color w:val="auto"/>
          <w:spacing w:val="9"/>
          <w:sz w:val="18"/>
          <w:szCs w:val="18"/>
          <w:lang w:val="en-US" w:eastAsia="zh-CN"/>
        </w:rPr>
        <w:t>单位</w:t>
      </w:r>
      <w:r>
        <w:rPr>
          <w:rFonts w:ascii="宋体" w:hAnsi="宋体" w:eastAsia="宋体" w:cs="宋体"/>
          <w:color w:val="auto"/>
          <w:spacing w:val="9"/>
          <w:sz w:val="18"/>
          <w:szCs w:val="18"/>
        </w:rPr>
        <w:t>收费票</w:t>
      </w:r>
      <w:r>
        <w:rPr>
          <w:rFonts w:ascii="宋体" w:hAnsi="宋体" w:eastAsia="宋体" w:cs="宋体"/>
          <w:color w:val="auto"/>
          <w:spacing w:val="8"/>
          <w:sz w:val="18"/>
          <w:szCs w:val="18"/>
        </w:rPr>
        <w:t>据缴费人一致；</w:t>
      </w:r>
    </w:p>
    <w:p w14:paraId="0EA60D49">
      <w:pPr>
        <w:keepNext w:val="0"/>
        <w:keepLines w:val="0"/>
        <w:pageBreakBefore w:val="0"/>
        <w:widowControl w:val="0"/>
        <w:kinsoku/>
        <w:wordWrap/>
        <w:overflowPunct/>
        <w:topLinePunct w:val="0"/>
        <w:autoSpaceDE/>
        <w:autoSpaceDN/>
        <w:bidi w:val="0"/>
        <w:adjustRightInd/>
        <w:snapToGrid/>
        <w:spacing w:line="360" w:lineRule="auto"/>
        <w:ind w:left="1068"/>
        <w:textAlignment w:val="auto"/>
        <w:rPr>
          <w:rFonts w:ascii="宋体" w:hAnsi="宋体" w:eastAsia="宋体" w:cs="宋体"/>
          <w:color w:val="auto"/>
          <w:sz w:val="18"/>
          <w:szCs w:val="18"/>
        </w:rPr>
      </w:pPr>
      <w:r>
        <w:rPr>
          <w:rFonts w:ascii="宋体" w:hAnsi="宋体" w:eastAsia="宋体" w:cs="宋体"/>
          <w:color w:val="auto"/>
          <w:spacing w:val="8"/>
          <w:sz w:val="18"/>
          <w:szCs w:val="18"/>
        </w:rPr>
        <w:t>2.申请人提交相应材料、证明应符合规定，</w:t>
      </w:r>
      <w:r>
        <w:rPr>
          <w:rFonts w:ascii="宋体" w:hAnsi="宋体" w:eastAsia="宋体" w:cs="宋体"/>
          <w:color w:val="auto"/>
          <w:spacing w:val="-58"/>
          <w:sz w:val="18"/>
          <w:szCs w:val="18"/>
        </w:rPr>
        <w:t xml:space="preserve"> </w:t>
      </w:r>
      <w:r>
        <w:rPr>
          <w:rFonts w:ascii="宋体" w:hAnsi="宋体" w:eastAsia="宋体" w:cs="宋体"/>
          <w:color w:val="auto"/>
          <w:spacing w:val="8"/>
          <w:sz w:val="18"/>
          <w:szCs w:val="18"/>
        </w:rPr>
        <w:t>申请人身份证及相关证明复印</w:t>
      </w:r>
      <w:r>
        <w:rPr>
          <w:rFonts w:ascii="宋体" w:hAnsi="宋体" w:eastAsia="宋体" w:cs="宋体"/>
          <w:color w:val="auto"/>
          <w:spacing w:val="7"/>
          <w:sz w:val="18"/>
          <w:szCs w:val="18"/>
        </w:rPr>
        <w:t>件附后；</w:t>
      </w:r>
    </w:p>
    <w:p w14:paraId="3B8BB36A">
      <w:pPr>
        <w:keepNext w:val="0"/>
        <w:keepLines w:val="0"/>
        <w:pageBreakBefore w:val="0"/>
        <w:widowControl w:val="0"/>
        <w:kinsoku/>
        <w:wordWrap/>
        <w:overflowPunct/>
        <w:topLinePunct w:val="0"/>
        <w:autoSpaceDE/>
        <w:autoSpaceDN/>
        <w:bidi w:val="0"/>
        <w:adjustRightInd/>
        <w:snapToGrid/>
        <w:spacing w:line="360" w:lineRule="auto"/>
        <w:ind w:left="1070"/>
        <w:textAlignment w:val="auto"/>
        <w:rPr>
          <w:rFonts w:hint="eastAsia" w:ascii="宋体" w:hAnsi="宋体" w:eastAsia="宋体" w:cs="宋体"/>
          <w:color w:val="auto"/>
          <w:spacing w:val="7"/>
          <w:sz w:val="18"/>
          <w:szCs w:val="18"/>
          <w:lang w:eastAsia="zh-CN"/>
        </w:rPr>
      </w:pPr>
      <w:r>
        <w:rPr>
          <w:rFonts w:ascii="宋体" w:hAnsi="宋体" w:eastAsia="宋体" w:cs="宋体"/>
          <w:color w:val="auto"/>
          <w:spacing w:val="7"/>
          <w:sz w:val="18"/>
          <w:szCs w:val="18"/>
        </w:rPr>
        <w:t>3.本表原件殡葬服务</w:t>
      </w:r>
      <w:r>
        <w:rPr>
          <w:rFonts w:hint="eastAsia" w:ascii="宋体" w:hAnsi="宋体" w:eastAsia="宋体" w:cs="宋体"/>
          <w:color w:val="auto"/>
          <w:spacing w:val="7"/>
          <w:sz w:val="18"/>
          <w:szCs w:val="18"/>
          <w:lang w:val="en-US" w:eastAsia="zh-CN"/>
        </w:rPr>
        <w:t>单位</w:t>
      </w:r>
      <w:r>
        <w:rPr>
          <w:rFonts w:ascii="宋体" w:hAnsi="宋体" w:eastAsia="宋体" w:cs="宋体"/>
          <w:color w:val="auto"/>
          <w:spacing w:val="7"/>
          <w:sz w:val="18"/>
          <w:szCs w:val="18"/>
        </w:rPr>
        <w:t>留存</w:t>
      </w:r>
      <w:r>
        <w:rPr>
          <w:rFonts w:hint="eastAsia" w:ascii="宋体" w:hAnsi="宋体" w:eastAsia="宋体" w:cs="宋体"/>
          <w:color w:val="auto"/>
          <w:spacing w:val="7"/>
          <w:sz w:val="18"/>
          <w:szCs w:val="18"/>
          <w:lang w:eastAsia="zh-CN"/>
        </w:rPr>
        <w:t>。</w:t>
      </w:r>
    </w:p>
    <w:p w14:paraId="34E36DEC">
      <w:pPr>
        <w:keepNext w:val="0"/>
        <w:keepLines w:val="0"/>
        <w:pageBreakBefore w:val="0"/>
        <w:widowControl w:val="0"/>
        <w:kinsoku/>
        <w:wordWrap/>
        <w:overflowPunct/>
        <w:topLinePunct w:val="0"/>
        <w:autoSpaceDE/>
        <w:autoSpaceDN/>
        <w:bidi w:val="0"/>
        <w:adjustRightInd/>
        <w:snapToGrid/>
        <w:spacing w:line="360" w:lineRule="atLeast"/>
        <w:ind w:left="1070"/>
        <w:textAlignment w:val="auto"/>
        <w:rPr>
          <w:rFonts w:hint="eastAsia" w:ascii="宋体" w:hAnsi="宋体" w:eastAsia="宋体" w:cs="宋体"/>
          <w:color w:val="auto"/>
          <w:spacing w:val="7"/>
          <w:sz w:val="20"/>
          <w:szCs w:val="20"/>
          <w:lang w:eastAsia="zh-CN"/>
        </w:rPr>
        <w:sectPr>
          <w:headerReference r:id="rId3" w:type="default"/>
          <w:footerReference r:id="rId4" w:type="default"/>
          <w:pgSz w:w="11906" w:h="16839"/>
          <w:pgMar w:top="2098" w:right="1474" w:bottom="1984" w:left="1587" w:header="0" w:footer="1452" w:gutter="0"/>
          <w:pgNumType w:fmt="decimal"/>
          <w:cols w:space="720" w:num="1"/>
        </w:sectPr>
      </w:pPr>
    </w:p>
    <w:p w14:paraId="7F2B7CB1">
      <w:pPr>
        <w:keepNext w:val="0"/>
        <w:keepLines w:val="0"/>
        <w:pageBreakBefore w:val="0"/>
        <w:kinsoku/>
        <w:wordWrap/>
        <w:overflowPunct/>
        <w:topLinePunct w:val="0"/>
        <w:autoSpaceDE/>
        <w:autoSpaceDN/>
        <w:bidi w:val="0"/>
        <w:adjustRightInd/>
        <w:snapToGrid/>
        <w:spacing w:line="560" w:lineRule="exact"/>
        <w:textAlignment w:val="auto"/>
        <w:rPr>
          <w:rFonts w:ascii="黑体" w:hAnsi="黑体" w:eastAsia="黑体" w:cs="黑体"/>
          <w:color w:val="auto"/>
          <w:spacing w:val="18"/>
          <w:sz w:val="32"/>
          <w:szCs w:val="32"/>
        </w:rPr>
      </w:pPr>
      <w:r>
        <w:rPr>
          <w:rFonts w:ascii="黑体" w:hAnsi="黑体" w:eastAsia="黑体" w:cs="黑体"/>
          <w:color w:val="auto"/>
          <w:spacing w:val="18"/>
          <w:sz w:val="32"/>
          <w:szCs w:val="32"/>
        </w:rPr>
        <w:t>附件2</w:t>
      </w:r>
    </w:p>
    <w:p w14:paraId="3B229192">
      <w:pPr>
        <w:keepNext w:val="0"/>
        <w:keepLines w:val="0"/>
        <w:pageBreakBefore w:val="0"/>
        <w:kinsoku/>
        <w:wordWrap/>
        <w:overflowPunct/>
        <w:topLinePunct w:val="0"/>
        <w:autoSpaceDE/>
        <w:autoSpaceDN/>
        <w:bidi w:val="0"/>
        <w:adjustRightInd/>
        <w:snapToGrid/>
        <w:spacing w:line="560" w:lineRule="exact"/>
        <w:jc w:val="center"/>
        <w:textAlignment w:val="auto"/>
        <w:rPr>
          <w:b/>
          <w:bCs/>
          <w:color w:val="auto"/>
          <w:spacing w:val="9"/>
          <w:sz w:val="31"/>
          <w:szCs w:val="31"/>
        </w:rPr>
      </w:pPr>
      <w:r>
        <w:rPr>
          <w:rFonts w:hint="eastAsia"/>
          <w:b/>
          <w:bCs/>
          <w:color w:val="auto"/>
          <w:spacing w:val="9"/>
          <w:sz w:val="31"/>
          <w:szCs w:val="31"/>
          <w:lang w:val="en-US" w:eastAsia="zh-CN"/>
        </w:rPr>
        <w:t>牡丹江市城区（含海林市）户籍居民殡葬服务费用减免</w:t>
      </w:r>
      <w:r>
        <w:rPr>
          <w:b/>
          <w:bCs/>
          <w:color w:val="auto"/>
          <w:spacing w:val="9"/>
          <w:sz w:val="31"/>
          <w:szCs w:val="31"/>
        </w:rPr>
        <w:t>资金经费结算表</w:t>
      </w:r>
    </w:p>
    <w:tbl>
      <w:tblPr>
        <w:tblStyle w:val="9"/>
        <w:tblW w:w="1297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1"/>
        <w:gridCol w:w="1215"/>
        <w:gridCol w:w="2609"/>
        <w:gridCol w:w="1274"/>
        <w:gridCol w:w="2684"/>
        <w:gridCol w:w="1424"/>
        <w:gridCol w:w="1230"/>
        <w:gridCol w:w="1379"/>
      </w:tblGrid>
      <w:tr w14:paraId="05BAB4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jc w:val="center"/>
        </w:trPr>
        <w:tc>
          <w:tcPr>
            <w:tcW w:w="1161" w:type="dxa"/>
            <w:vAlign w:val="center"/>
          </w:tcPr>
          <w:p w14:paraId="03D24F58">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rPr>
            </w:pPr>
            <w:r>
              <w:rPr>
                <w:color w:val="auto"/>
                <w:spacing w:val="-1"/>
              </w:rPr>
              <w:t>编</w:t>
            </w:r>
            <w:r>
              <w:rPr>
                <w:color w:val="auto"/>
                <w:spacing w:val="12"/>
              </w:rPr>
              <w:t xml:space="preserve">  </w:t>
            </w:r>
            <w:r>
              <w:rPr>
                <w:color w:val="auto"/>
                <w:spacing w:val="-1"/>
              </w:rPr>
              <w:t>号</w:t>
            </w:r>
          </w:p>
        </w:tc>
        <w:tc>
          <w:tcPr>
            <w:tcW w:w="1215" w:type="dxa"/>
            <w:vAlign w:val="center"/>
          </w:tcPr>
          <w:p w14:paraId="2285EC09">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rPr>
            </w:pPr>
            <w:r>
              <w:rPr>
                <w:color w:val="auto"/>
                <w:spacing w:val="7"/>
              </w:rPr>
              <w:t>逝者姓名</w:t>
            </w:r>
          </w:p>
        </w:tc>
        <w:tc>
          <w:tcPr>
            <w:tcW w:w="2609" w:type="dxa"/>
            <w:vAlign w:val="center"/>
          </w:tcPr>
          <w:p w14:paraId="12F4CF78">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rPr>
            </w:pPr>
            <w:r>
              <w:rPr>
                <w:color w:val="auto"/>
                <w:spacing w:val="7"/>
              </w:rPr>
              <w:t>身份证号码</w:t>
            </w:r>
          </w:p>
        </w:tc>
        <w:tc>
          <w:tcPr>
            <w:tcW w:w="1274" w:type="dxa"/>
            <w:vAlign w:val="center"/>
          </w:tcPr>
          <w:p w14:paraId="44E20458">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rPr>
            </w:pPr>
            <w:r>
              <w:rPr>
                <w:color w:val="auto"/>
                <w:spacing w:val="2"/>
              </w:rPr>
              <w:t>申请人姓名</w:t>
            </w:r>
          </w:p>
        </w:tc>
        <w:tc>
          <w:tcPr>
            <w:tcW w:w="2684" w:type="dxa"/>
            <w:vAlign w:val="center"/>
          </w:tcPr>
          <w:p w14:paraId="3C6D4CE0">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rPr>
            </w:pPr>
            <w:r>
              <w:rPr>
                <w:color w:val="auto"/>
                <w:spacing w:val="7"/>
              </w:rPr>
              <w:t>身份证号码</w:t>
            </w:r>
          </w:p>
        </w:tc>
        <w:tc>
          <w:tcPr>
            <w:tcW w:w="1424" w:type="dxa"/>
            <w:vAlign w:val="center"/>
          </w:tcPr>
          <w:p w14:paraId="0A63A95E">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rPr>
            </w:pPr>
            <w:r>
              <w:rPr>
                <w:color w:val="auto"/>
              </w:rPr>
              <w:t>申请人与</w:t>
            </w:r>
          </w:p>
          <w:p w14:paraId="0909F0C0">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rPr>
            </w:pPr>
            <w:r>
              <w:rPr>
                <w:color w:val="auto"/>
                <w:spacing w:val="7"/>
              </w:rPr>
              <w:t>逝者关系</w:t>
            </w:r>
          </w:p>
        </w:tc>
        <w:tc>
          <w:tcPr>
            <w:tcW w:w="1230" w:type="dxa"/>
            <w:vAlign w:val="center"/>
          </w:tcPr>
          <w:p w14:paraId="1CD458BC">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spacing w:val="7"/>
              </w:rPr>
            </w:pPr>
            <w:r>
              <w:rPr>
                <w:color w:val="auto"/>
                <w:spacing w:val="7"/>
              </w:rPr>
              <w:t>殡葬惠民</w:t>
            </w:r>
          </w:p>
          <w:p w14:paraId="3142167E">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rPr>
            </w:pPr>
            <w:r>
              <w:rPr>
                <w:color w:val="auto"/>
                <w:spacing w:val="7"/>
              </w:rPr>
              <w:t>对象类别</w:t>
            </w:r>
          </w:p>
        </w:tc>
        <w:tc>
          <w:tcPr>
            <w:tcW w:w="1379" w:type="dxa"/>
            <w:vAlign w:val="center"/>
          </w:tcPr>
          <w:p w14:paraId="1BEDD3F2">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rPr>
            </w:pPr>
            <w:r>
              <w:rPr>
                <w:color w:val="auto"/>
                <w:spacing w:val="6"/>
              </w:rPr>
              <w:t>免除费用</w:t>
            </w:r>
          </w:p>
          <w:p w14:paraId="1BB7ABE4">
            <w:pPr>
              <w:pStyle w:val="10"/>
              <w:keepNext w:val="0"/>
              <w:keepLines w:val="0"/>
              <w:pageBreakBefore w:val="0"/>
              <w:kinsoku/>
              <w:wordWrap/>
              <w:overflowPunct/>
              <w:topLinePunct w:val="0"/>
              <w:autoSpaceDE/>
              <w:autoSpaceDN/>
              <w:bidi w:val="0"/>
              <w:adjustRightInd/>
              <w:snapToGrid/>
              <w:spacing w:line="560" w:lineRule="exact"/>
              <w:jc w:val="center"/>
              <w:textAlignment w:val="auto"/>
              <w:rPr>
                <w:color w:val="auto"/>
              </w:rPr>
            </w:pPr>
            <w:r>
              <w:rPr>
                <w:color w:val="auto"/>
                <w:spacing w:val="-1"/>
              </w:rPr>
              <w:t>（元）</w:t>
            </w:r>
          </w:p>
        </w:tc>
      </w:tr>
      <w:tr w14:paraId="4FE3C5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1161" w:type="dxa"/>
            <w:vAlign w:val="top"/>
          </w:tcPr>
          <w:p w14:paraId="081CC287">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15" w:type="dxa"/>
            <w:vAlign w:val="top"/>
          </w:tcPr>
          <w:p w14:paraId="51031DE2">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09" w:type="dxa"/>
            <w:vAlign w:val="top"/>
          </w:tcPr>
          <w:p w14:paraId="62A0A30E">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74" w:type="dxa"/>
            <w:vAlign w:val="top"/>
          </w:tcPr>
          <w:p w14:paraId="1FFCAD65">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84" w:type="dxa"/>
            <w:vAlign w:val="top"/>
          </w:tcPr>
          <w:p w14:paraId="443721A8">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424" w:type="dxa"/>
            <w:vAlign w:val="top"/>
          </w:tcPr>
          <w:p w14:paraId="3BF80363">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30" w:type="dxa"/>
            <w:vAlign w:val="top"/>
          </w:tcPr>
          <w:p w14:paraId="4E7830DB">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379" w:type="dxa"/>
            <w:vAlign w:val="top"/>
          </w:tcPr>
          <w:p w14:paraId="173A9CD2">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r>
      <w:tr w14:paraId="5E5506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1161" w:type="dxa"/>
            <w:vAlign w:val="top"/>
          </w:tcPr>
          <w:p w14:paraId="218E2196">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15" w:type="dxa"/>
            <w:vAlign w:val="top"/>
          </w:tcPr>
          <w:p w14:paraId="24B82347">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09" w:type="dxa"/>
            <w:vAlign w:val="top"/>
          </w:tcPr>
          <w:p w14:paraId="6F56A37B">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74" w:type="dxa"/>
            <w:vAlign w:val="top"/>
          </w:tcPr>
          <w:p w14:paraId="322FDCF4">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84" w:type="dxa"/>
            <w:vAlign w:val="top"/>
          </w:tcPr>
          <w:p w14:paraId="6FF38B44">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424" w:type="dxa"/>
            <w:vAlign w:val="top"/>
          </w:tcPr>
          <w:p w14:paraId="458830DF">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30" w:type="dxa"/>
            <w:vAlign w:val="top"/>
          </w:tcPr>
          <w:p w14:paraId="0663D950">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379" w:type="dxa"/>
            <w:vAlign w:val="top"/>
          </w:tcPr>
          <w:p w14:paraId="1D5E8941">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r>
      <w:tr w14:paraId="3B9DD3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1161" w:type="dxa"/>
            <w:vAlign w:val="top"/>
          </w:tcPr>
          <w:p w14:paraId="46BC4783">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15" w:type="dxa"/>
            <w:vAlign w:val="top"/>
          </w:tcPr>
          <w:p w14:paraId="68F0C104">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09" w:type="dxa"/>
            <w:vAlign w:val="top"/>
          </w:tcPr>
          <w:p w14:paraId="253C95AF">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74" w:type="dxa"/>
            <w:vAlign w:val="top"/>
          </w:tcPr>
          <w:p w14:paraId="610F8F58">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84" w:type="dxa"/>
            <w:vAlign w:val="top"/>
          </w:tcPr>
          <w:p w14:paraId="1DD9FB82">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424" w:type="dxa"/>
            <w:vAlign w:val="top"/>
          </w:tcPr>
          <w:p w14:paraId="46FDBD7D">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30" w:type="dxa"/>
            <w:vAlign w:val="top"/>
          </w:tcPr>
          <w:p w14:paraId="233E3E16">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379" w:type="dxa"/>
            <w:vAlign w:val="top"/>
          </w:tcPr>
          <w:p w14:paraId="0D1A805A">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r>
      <w:tr w14:paraId="508261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jc w:val="center"/>
        </w:trPr>
        <w:tc>
          <w:tcPr>
            <w:tcW w:w="1161" w:type="dxa"/>
            <w:vAlign w:val="top"/>
          </w:tcPr>
          <w:p w14:paraId="753AB440">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15" w:type="dxa"/>
            <w:vAlign w:val="top"/>
          </w:tcPr>
          <w:p w14:paraId="50C3BD6D">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09" w:type="dxa"/>
            <w:vAlign w:val="top"/>
          </w:tcPr>
          <w:p w14:paraId="2E50115F">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74" w:type="dxa"/>
            <w:vAlign w:val="top"/>
          </w:tcPr>
          <w:p w14:paraId="4A1D8F80">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84" w:type="dxa"/>
            <w:vAlign w:val="top"/>
          </w:tcPr>
          <w:p w14:paraId="6C629293">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424" w:type="dxa"/>
            <w:vAlign w:val="top"/>
          </w:tcPr>
          <w:p w14:paraId="1BBC2B4C">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30" w:type="dxa"/>
            <w:vAlign w:val="top"/>
          </w:tcPr>
          <w:p w14:paraId="7FEB08BE">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379" w:type="dxa"/>
            <w:vAlign w:val="top"/>
          </w:tcPr>
          <w:p w14:paraId="5F43954C">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r>
      <w:tr w14:paraId="57D361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1161" w:type="dxa"/>
            <w:vAlign w:val="top"/>
          </w:tcPr>
          <w:p w14:paraId="52402596">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15" w:type="dxa"/>
            <w:vAlign w:val="top"/>
          </w:tcPr>
          <w:p w14:paraId="10D9A2E0">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09" w:type="dxa"/>
            <w:vAlign w:val="top"/>
          </w:tcPr>
          <w:p w14:paraId="626460A5">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74" w:type="dxa"/>
            <w:vAlign w:val="top"/>
          </w:tcPr>
          <w:p w14:paraId="416CF68E">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84" w:type="dxa"/>
            <w:vAlign w:val="top"/>
          </w:tcPr>
          <w:p w14:paraId="096DFE3C">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424" w:type="dxa"/>
            <w:vAlign w:val="top"/>
          </w:tcPr>
          <w:p w14:paraId="0A382EE5">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30" w:type="dxa"/>
            <w:vAlign w:val="top"/>
          </w:tcPr>
          <w:p w14:paraId="3C7C51AF">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379" w:type="dxa"/>
            <w:vAlign w:val="top"/>
          </w:tcPr>
          <w:p w14:paraId="785A3FCA">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r>
      <w:tr w14:paraId="4DEE4A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jc w:val="center"/>
        </w:trPr>
        <w:tc>
          <w:tcPr>
            <w:tcW w:w="1161" w:type="dxa"/>
            <w:vAlign w:val="top"/>
          </w:tcPr>
          <w:p w14:paraId="06056379">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15" w:type="dxa"/>
            <w:vAlign w:val="top"/>
          </w:tcPr>
          <w:p w14:paraId="0B9AE2E7">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09" w:type="dxa"/>
            <w:vAlign w:val="top"/>
          </w:tcPr>
          <w:p w14:paraId="60733E6D">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74" w:type="dxa"/>
            <w:vAlign w:val="top"/>
          </w:tcPr>
          <w:p w14:paraId="51AE3710">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2684" w:type="dxa"/>
            <w:vAlign w:val="top"/>
          </w:tcPr>
          <w:p w14:paraId="22A06979">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424" w:type="dxa"/>
            <w:vAlign w:val="top"/>
          </w:tcPr>
          <w:p w14:paraId="724B6068">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230" w:type="dxa"/>
            <w:vAlign w:val="top"/>
          </w:tcPr>
          <w:p w14:paraId="5771B349">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c>
          <w:tcPr>
            <w:tcW w:w="1379" w:type="dxa"/>
            <w:vAlign w:val="top"/>
          </w:tcPr>
          <w:p w14:paraId="7037E855">
            <w:pPr>
              <w:keepNext w:val="0"/>
              <w:keepLines w:val="0"/>
              <w:pageBreakBefore w:val="0"/>
              <w:kinsoku/>
              <w:wordWrap/>
              <w:overflowPunct/>
              <w:topLinePunct w:val="0"/>
              <w:autoSpaceDE/>
              <w:autoSpaceDN/>
              <w:bidi w:val="0"/>
              <w:adjustRightInd/>
              <w:snapToGrid/>
              <w:spacing w:line="560" w:lineRule="exact"/>
              <w:textAlignment w:val="auto"/>
              <w:rPr>
                <w:rFonts w:ascii="Arial"/>
                <w:color w:val="auto"/>
                <w:sz w:val="21"/>
              </w:rPr>
            </w:pPr>
          </w:p>
        </w:tc>
      </w:tr>
    </w:tbl>
    <w:p w14:paraId="0F1BA1E8">
      <w:pPr>
        <w:keepNext w:val="0"/>
        <w:keepLines w:val="0"/>
        <w:pageBreakBefore w:val="0"/>
        <w:kinsoku/>
        <w:wordWrap/>
        <w:overflowPunct/>
        <w:topLinePunct w:val="0"/>
        <w:autoSpaceDE/>
        <w:autoSpaceDN/>
        <w:bidi w:val="0"/>
        <w:adjustRightInd/>
        <w:snapToGrid/>
        <w:spacing w:line="560" w:lineRule="exact"/>
        <w:ind w:left="123"/>
        <w:textAlignment w:val="auto"/>
        <w:rPr>
          <w:rFonts w:ascii="Arial"/>
          <w:color w:val="auto"/>
          <w:sz w:val="21"/>
        </w:rPr>
      </w:pPr>
      <w:r>
        <w:rPr>
          <w:rFonts w:ascii="宋体" w:hAnsi="宋体" w:eastAsia="宋体" w:cs="宋体"/>
          <w:color w:val="auto"/>
          <w:spacing w:val="4"/>
          <w:sz w:val="20"/>
          <w:szCs w:val="20"/>
        </w:rPr>
        <w:t>填表人：</w:t>
      </w:r>
    </w:p>
    <w:p w14:paraId="100CB133">
      <w:pPr>
        <w:keepNext w:val="0"/>
        <w:keepLines w:val="0"/>
        <w:pageBreakBefore w:val="0"/>
        <w:widowControl w:val="0"/>
        <w:kinsoku/>
        <w:wordWrap/>
        <w:overflowPunct/>
        <w:topLinePunct w:val="0"/>
        <w:autoSpaceDE/>
        <w:autoSpaceDN/>
        <w:bidi w:val="0"/>
        <w:adjustRightInd/>
        <w:snapToGrid/>
        <w:spacing w:line="240" w:lineRule="atLeast"/>
        <w:ind w:left="121"/>
        <w:textAlignment w:val="auto"/>
        <w:rPr>
          <w:rFonts w:ascii="宋体" w:hAnsi="宋体" w:eastAsia="宋体" w:cs="宋体"/>
          <w:color w:val="auto"/>
          <w:spacing w:val="4"/>
          <w:sz w:val="20"/>
          <w:szCs w:val="20"/>
        </w:rPr>
      </w:pPr>
      <w:r>
        <w:rPr>
          <w:rFonts w:ascii="宋体" w:hAnsi="宋体" w:eastAsia="宋体" w:cs="宋体"/>
          <w:color w:val="auto"/>
          <w:spacing w:val="5"/>
          <w:sz w:val="20"/>
          <w:szCs w:val="20"/>
        </w:rPr>
        <w:t>殡葬服务</w:t>
      </w:r>
      <w:r>
        <w:rPr>
          <w:rFonts w:hint="eastAsia" w:ascii="宋体" w:hAnsi="宋体" w:eastAsia="宋体" w:cs="宋体"/>
          <w:color w:val="auto"/>
          <w:spacing w:val="5"/>
          <w:sz w:val="20"/>
          <w:szCs w:val="20"/>
          <w:lang w:val="en-US" w:eastAsia="zh-CN"/>
        </w:rPr>
        <w:t>单位</w:t>
      </w:r>
      <w:r>
        <w:rPr>
          <w:rFonts w:ascii="宋体" w:hAnsi="宋体" w:eastAsia="宋体" w:cs="宋体"/>
          <w:color w:val="auto"/>
          <w:spacing w:val="5"/>
          <w:sz w:val="20"/>
          <w:szCs w:val="20"/>
        </w:rPr>
        <w:t xml:space="preserve">审核盖章：                                         </w:t>
      </w:r>
      <w:r>
        <w:rPr>
          <w:rFonts w:ascii="宋体" w:hAnsi="宋体" w:eastAsia="宋体" w:cs="宋体"/>
          <w:color w:val="auto"/>
          <w:spacing w:val="4"/>
          <w:sz w:val="20"/>
          <w:szCs w:val="20"/>
        </w:rPr>
        <w:t xml:space="preserve">                  民政部门审核盖章：</w:t>
      </w:r>
    </w:p>
    <w:p w14:paraId="2084EF23">
      <w:pPr>
        <w:keepNext w:val="0"/>
        <w:keepLines w:val="0"/>
        <w:pageBreakBefore w:val="0"/>
        <w:widowControl w:val="0"/>
        <w:kinsoku/>
        <w:wordWrap/>
        <w:overflowPunct/>
        <w:topLinePunct w:val="0"/>
        <w:autoSpaceDE/>
        <w:autoSpaceDN/>
        <w:bidi w:val="0"/>
        <w:adjustRightInd/>
        <w:snapToGrid/>
        <w:spacing w:line="240" w:lineRule="atLeast"/>
        <w:ind w:left="121"/>
        <w:textAlignment w:val="auto"/>
        <w:rPr>
          <w:rFonts w:ascii="宋体" w:hAnsi="宋体" w:eastAsia="宋体" w:cs="宋体"/>
          <w:color w:val="auto"/>
          <w:spacing w:val="4"/>
          <w:sz w:val="20"/>
          <w:szCs w:val="20"/>
        </w:rPr>
      </w:pPr>
    </w:p>
    <w:p w14:paraId="591E10EF">
      <w:pPr>
        <w:keepNext w:val="0"/>
        <w:keepLines w:val="0"/>
        <w:pageBreakBefore w:val="0"/>
        <w:widowControl w:val="0"/>
        <w:kinsoku/>
        <w:wordWrap/>
        <w:overflowPunct/>
        <w:topLinePunct w:val="0"/>
        <w:autoSpaceDE/>
        <w:autoSpaceDN/>
        <w:bidi w:val="0"/>
        <w:adjustRightInd/>
        <w:snapToGrid/>
        <w:spacing w:line="240" w:lineRule="atLeast"/>
        <w:ind w:left="137"/>
        <w:textAlignment w:val="auto"/>
        <w:rPr>
          <w:rFonts w:ascii="宋体" w:hAnsi="宋体" w:eastAsia="宋体" w:cs="宋体"/>
          <w:color w:val="auto"/>
          <w:sz w:val="20"/>
          <w:szCs w:val="20"/>
        </w:rPr>
      </w:pPr>
      <w:r>
        <w:rPr>
          <w:rFonts w:ascii="宋体" w:hAnsi="宋体" w:eastAsia="宋体" w:cs="宋体"/>
          <w:color w:val="auto"/>
          <w:spacing w:val="7"/>
          <w:sz w:val="20"/>
          <w:szCs w:val="20"/>
        </w:rPr>
        <w:t>1.填表时用蓝黑钢笔或碳素笔，字迹工整。</w:t>
      </w:r>
    </w:p>
    <w:p w14:paraId="20A5764A">
      <w:pPr>
        <w:keepNext w:val="0"/>
        <w:keepLines w:val="0"/>
        <w:pageBreakBefore w:val="0"/>
        <w:widowControl w:val="0"/>
        <w:kinsoku/>
        <w:wordWrap/>
        <w:overflowPunct/>
        <w:topLinePunct w:val="0"/>
        <w:autoSpaceDE/>
        <w:autoSpaceDN/>
        <w:bidi w:val="0"/>
        <w:adjustRightInd/>
        <w:snapToGrid/>
        <w:spacing w:line="240" w:lineRule="atLeast"/>
        <w:ind w:left="223" w:right="111" w:hanging="99"/>
        <w:textAlignment w:val="auto"/>
        <w:rPr>
          <w:rFonts w:hint="default" w:ascii="宋体" w:hAnsi="宋体" w:eastAsia="宋体" w:cs="宋体"/>
          <w:color w:val="auto"/>
          <w:spacing w:val="9"/>
          <w:sz w:val="20"/>
          <w:szCs w:val="20"/>
          <w:lang w:val="en-US" w:eastAsia="zh-CN"/>
        </w:rPr>
      </w:pPr>
      <w:r>
        <w:rPr>
          <w:rFonts w:ascii="宋体" w:hAnsi="宋体" w:eastAsia="宋体" w:cs="宋体"/>
          <w:color w:val="auto"/>
          <w:spacing w:val="9"/>
          <w:sz w:val="20"/>
          <w:szCs w:val="20"/>
        </w:rPr>
        <w:t>2.殡葬惠民对象类别为：</w:t>
      </w:r>
      <w:r>
        <w:rPr>
          <w:rFonts w:hint="eastAsia" w:ascii="宋体" w:hAnsi="宋体" w:eastAsia="宋体" w:cs="宋体"/>
          <w:color w:val="auto"/>
          <w:spacing w:val="9"/>
          <w:sz w:val="20"/>
          <w:szCs w:val="20"/>
        </w:rPr>
        <w:t>城乡低保对象、</w:t>
      </w:r>
      <w:r>
        <w:rPr>
          <w:rFonts w:hint="eastAsia" w:ascii="宋体" w:hAnsi="宋体" w:eastAsia="宋体" w:cs="宋体"/>
          <w:color w:val="auto"/>
          <w:spacing w:val="9"/>
          <w:sz w:val="20"/>
          <w:szCs w:val="20"/>
          <w:lang w:val="en-US" w:eastAsia="zh-CN"/>
        </w:rPr>
        <w:t>特困供养对象、</w:t>
      </w:r>
      <w:r>
        <w:rPr>
          <w:rFonts w:hint="eastAsia" w:ascii="宋体" w:hAnsi="宋体" w:eastAsia="宋体" w:cs="宋体"/>
          <w:color w:val="auto"/>
          <w:spacing w:val="9"/>
          <w:sz w:val="20"/>
          <w:szCs w:val="20"/>
        </w:rPr>
        <w:t>失独老人、家庭陷入临时困境人员、</w:t>
      </w:r>
      <w:r>
        <w:rPr>
          <w:rFonts w:hint="eastAsia" w:ascii="宋体" w:hAnsi="宋体" w:eastAsia="宋体" w:cs="宋体"/>
          <w:color w:val="auto"/>
          <w:spacing w:val="9"/>
          <w:sz w:val="20"/>
          <w:szCs w:val="20"/>
          <w:lang w:val="en-US" w:eastAsia="zh-CN"/>
        </w:rPr>
        <w:t>农村居民、出生后</w:t>
      </w:r>
      <w:r>
        <w:rPr>
          <w:rFonts w:hint="eastAsia" w:ascii="宋体" w:hAnsi="宋体" w:eastAsia="宋体" w:cs="宋体"/>
          <w:color w:val="auto"/>
          <w:spacing w:val="9"/>
          <w:sz w:val="20"/>
          <w:szCs w:val="20"/>
        </w:rPr>
        <w:t>尚未登记的婴儿、孤儿</w:t>
      </w:r>
      <w:r>
        <w:rPr>
          <w:rFonts w:hint="eastAsia" w:ascii="宋体" w:hAnsi="宋体" w:eastAsia="宋体" w:cs="宋体"/>
          <w:color w:val="auto"/>
          <w:spacing w:val="9"/>
          <w:sz w:val="20"/>
          <w:szCs w:val="20"/>
          <w:lang w:eastAsia="zh-CN"/>
        </w:rPr>
        <w:t>（</w:t>
      </w:r>
      <w:r>
        <w:rPr>
          <w:rFonts w:hint="eastAsia" w:ascii="宋体" w:hAnsi="宋体" w:eastAsia="宋体" w:cs="宋体"/>
          <w:color w:val="auto"/>
          <w:spacing w:val="9"/>
          <w:sz w:val="20"/>
          <w:szCs w:val="20"/>
          <w:lang w:val="en-US" w:eastAsia="zh-CN"/>
        </w:rPr>
        <w:t>含事实无人抚养儿童</w:t>
      </w:r>
      <w:r>
        <w:rPr>
          <w:rFonts w:hint="eastAsia" w:ascii="宋体" w:hAnsi="宋体" w:eastAsia="宋体" w:cs="宋体"/>
          <w:color w:val="auto"/>
          <w:spacing w:val="9"/>
          <w:sz w:val="20"/>
          <w:szCs w:val="20"/>
          <w:lang w:eastAsia="zh-CN"/>
        </w:rPr>
        <w:t>）、</w:t>
      </w:r>
      <w:r>
        <w:rPr>
          <w:rFonts w:hint="eastAsia" w:ascii="宋体" w:hAnsi="宋体" w:eastAsia="宋体" w:cs="宋体"/>
          <w:color w:val="auto"/>
          <w:spacing w:val="9"/>
          <w:sz w:val="20"/>
          <w:szCs w:val="20"/>
          <w:lang w:val="en-US" w:eastAsia="zh-CN"/>
        </w:rPr>
        <w:t>集中供养的特困供养对象、救助的流浪乞讨人员，以</w:t>
      </w:r>
      <w:r>
        <w:rPr>
          <w:rFonts w:hint="eastAsia" w:ascii="宋体" w:hAnsi="宋体" w:eastAsia="宋体" w:cs="宋体"/>
          <w:color w:val="auto"/>
          <w:spacing w:val="9"/>
          <w:sz w:val="20"/>
          <w:szCs w:val="20"/>
        </w:rPr>
        <w:t>及政府需要保障的其他对象</w:t>
      </w:r>
      <w:r>
        <w:rPr>
          <w:rFonts w:hint="eastAsia" w:ascii="宋体" w:hAnsi="宋体" w:eastAsia="宋体" w:cs="宋体"/>
          <w:color w:val="auto"/>
          <w:spacing w:val="9"/>
          <w:sz w:val="20"/>
          <w:szCs w:val="20"/>
          <w:lang w:val="en-US" w:eastAsia="zh-CN"/>
        </w:rPr>
        <w:t>；</w:t>
      </w:r>
      <w:r>
        <w:rPr>
          <w:rFonts w:hint="eastAsia" w:ascii="宋体" w:hAnsi="宋体" w:eastAsia="宋体" w:cs="宋体"/>
          <w:color w:val="auto"/>
          <w:spacing w:val="9"/>
          <w:sz w:val="20"/>
          <w:szCs w:val="20"/>
        </w:rPr>
        <w:t>离休干部、百岁以上老人、服役期间荣立二等功或战时荣立三等功以上的退役军人、</w:t>
      </w:r>
      <w:r>
        <w:rPr>
          <w:rFonts w:hint="eastAsia" w:ascii="宋体" w:hAnsi="宋体" w:eastAsia="宋体" w:cs="宋体"/>
          <w:color w:val="auto"/>
          <w:spacing w:val="9"/>
          <w:sz w:val="20"/>
          <w:szCs w:val="20"/>
          <w:lang w:val="en-US" w:eastAsia="zh-CN"/>
        </w:rPr>
        <w:t>驻牡部队（武警）现役官兵、优抚对象、</w:t>
      </w:r>
      <w:r>
        <w:rPr>
          <w:rFonts w:hint="eastAsia" w:ascii="宋体" w:hAnsi="宋体" w:eastAsia="宋体" w:cs="宋体"/>
          <w:color w:val="auto"/>
          <w:spacing w:val="9"/>
          <w:sz w:val="20"/>
          <w:szCs w:val="20"/>
        </w:rPr>
        <w:t>见义勇为人员、</w:t>
      </w:r>
      <w:r>
        <w:rPr>
          <w:rFonts w:hint="eastAsia" w:ascii="宋体" w:hAnsi="宋体" w:eastAsia="宋体" w:cs="宋体"/>
          <w:color w:val="auto"/>
          <w:spacing w:val="9"/>
          <w:sz w:val="20"/>
          <w:szCs w:val="20"/>
          <w:lang w:val="en-US" w:eastAsia="zh-CN"/>
        </w:rPr>
        <w:t>见义勇为牺牲人员、</w:t>
      </w:r>
      <w:r>
        <w:rPr>
          <w:rFonts w:hint="eastAsia" w:ascii="宋体" w:hAnsi="宋体" w:eastAsia="宋体" w:cs="宋体"/>
          <w:color w:val="auto"/>
          <w:spacing w:val="9"/>
          <w:sz w:val="20"/>
          <w:szCs w:val="20"/>
        </w:rPr>
        <w:t>因公牺牲</w:t>
      </w:r>
      <w:r>
        <w:rPr>
          <w:rFonts w:hint="eastAsia" w:ascii="宋体" w:hAnsi="宋体" w:eastAsia="宋体" w:cs="宋体"/>
          <w:color w:val="auto"/>
          <w:spacing w:val="9"/>
          <w:sz w:val="20"/>
          <w:szCs w:val="20"/>
          <w:lang w:val="en-US" w:eastAsia="zh-CN"/>
        </w:rPr>
        <w:t>人员、</w:t>
      </w:r>
      <w:r>
        <w:rPr>
          <w:rFonts w:hint="eastAsia" w:ascii="宋体" w:hAnsi="宋体" w:eastAsia="宋体" w:cs="宋体"/>
          <w:color w:val="auto"/>
          <w:spacing w:val="9"/>
          <w:sz w:val="20"/>
          <w:szCs w:val="20"/>
        </w:rPr>
        <w:t>烈士及政府需要褒奖的其他对象。</w:t>
      </w:r>
      <w:r>
        <w:rPr>
          <w:rFonts w:hint="eastAsia" w:ascii="宋体" w:hAnsi="宋体" w:eastAsia="宋体" w:cs="宋体"/>
          <w:color w:val="auto"/>
          <w:spacing w:val="9"/>
          <w:sz w:val="20"/>
          <w:szCs w:val="20"/>
          <w:lang w:val="en-US" w:eastAsia="zh-CN"/>
        </w:rPr>
        <w:t>参保差额减免人员，未参保人员。</w:t>
      </w:r>
    </w:p>
    <w:p w14:paraId="4427B2D9">
      <w:pPr>
        <w:keepNext w:val="0"/>
        <w:keepLines w:val="0"/>
        <w:pageBreakBefore w:val="0"/>
        <w:widowControl w:val="0"/>
        <w:kinsoku/>
        <w:wordWrap/>
        <w:overflowPunct/>
        <w:topLinePunct w:val="0"/>
        <w:autoSpaceDE/>
        <w:autoSpaceDN/>
        <w:bidi w:val="0"/>
        <w:adjustRightInd/>
        <w:snapToGrid/>
        <w:spacing w:line="240" w:lineRule="atLeast"/>
        <w:ind w:left="125"/>
        <w:textAlignment w:val="auto"/>
        <w:rPr>
          <w:rFonts w:ascii="宋体" w:hAnsi="宋体" w:eastAsia="宋体" w:cs="宋体"/>
          <w:color w:val="auto"/>
          <w:sz w:val="20"/>
          <w:szCs w:val="20"/>
        </w:rPr>
      </w:pPr>
      <w:r>
        <w:rPr>
          <w:rFonts w:ascii="宋体" w:hAnsi="宋体" w:eastAsia="宋体" w:cs="宋体"/>
          <w:color w:val="auto"/>
          <w:spacing w:val="9"/>
          <w:sz w:val="20"/>
          <w:szCs w:val="20"/>
        </w:rPr>
        <w:t>3</w:t>
      </w:r>
      <w:r>
        <w:rPr>
          <w:rFonts w:hint="eastAsia" w:ascii="宋体" w:hAnsi="宋体" w:eastAsia="宋体" w:cs="宋体"/>
          <w:color w:val="auto"/>
          <w:spacing w:val="9"/>
          <w:sz w:val="20"/>
          <w:szCs w:val="20"/>
          <w:lang w:eastAsia="zh-CN"/>
        </w:rPr>
        <w:t>.</w:t>
      </w:r>
      <w:r>
        <w:rPr>
          <w:rFonts w:ascii="宋体" w:hAnsi="宋体" w:eastAsia="宋体" w:cs="宋体"/>
          <w:color w:val="auto"/>
          <w:spacing w:val="9"/>
          <w:sz w:val="20"/>
          <w:szCs w:val="20"/>
        </w:rPr>
        <w:t>本表须附带《</w:t>
      </w:r>
      <w:r>
        <w:rPr>
          <w:rFonts w:hint="eastAsia" w:ascii="宋体" w:hAnsi="宋体" w:eastAsia="宋体" w:cs="宋体"/>
          <w:color w:val="auto"/>
          <w:spacing w:val="9"/>
          <w:sz w:val="20"/>
          <w:szCs w:val="20"/>
          <w:lang w:val="en-US" w:eastAsia="zh-CN"/>
        </w:rPr>
        <w:t>牡丹江市城区（含海林市）户籍居民殡葬服务费用减免</w:t>
      </w:r>
      <w:r>
        <w:rPr>
          <w:rFonts w:ascii="宋体" w:hAnsi="宋体" w:eastAsia="宋体" w:cs="宋体"/>
          <w:color w:val="auto"/>
          <w:spacing w:val="9"/>
          <w:sz w:val="20"/>
          <w:szCs w:val="20"/>
        </w:rPr>
        <w:t>申请表》复印件，以及申请所需材料复印件。</w:t>
      </w:r>
    </w:p>
    <w:p w14:paraId="7DFF081B">
      <w:pPr>
        <w:keepNext w:val="0"/>
        <w:keepLines w:val="0"/>
        <w:pageBreakBefore w:val="0"/>
        <w:widowControl w:val="0"/>
        <w:kinsoku/>
        <w:wordWrap/>
        <w:overflowPunct/>
        <w:topLinePunct w:val="0"/>
        <w:autoSpaceDE/>
        <w:autoSpaceDN/>
        <w:bidi w:val="0"/>
        <w:adjustRightInd/>
        <w:snapToGrid/>
        <w:spacing w:line="240" w:lineRule="atLeast"/>
        <w:ind w:left="120"/>
        <w:textAlignment w:val="auto"/>
        <w:rPr>
          <w:rFonts w:hint="eastAsia" w:eastAsiaTheme="minorEastAsia"/>
          <w:lang w:eastAsia="zh-CN"/>
        </w:rPr>
      </w:pPr>
      <w:r>
        <w:rPr>
          <w:rFonts w:ascii="宋体" w:hAnsi="宋体" w:eastAsia="宋体" w:cs="宋体"/>
          <w:color w:val="auto"/>
          <w:spacing w:val="9"/>
          <w:sz w:val="20"/>
          <w:szCs w:val="20"/>
        </w:rPr>
        <w:t>4.本表一式</w:t>
      </w:r>
      <w:r>
        <w:rPr>
          <w:rFonts w:hint="eastAsia" w:ascii="宋体" w:hAnsi="宋体" w:eastAsia="宋体" w:cs="宋体"/>
          <w:color w:val="auto"/>
          <w:spacing w:val="9"/>
          <w:sz w:val="20"/>
          <w:szCs w:val="20"/>
          <w:lang w:val="en-US" w:eastAsia="zh-CN"/>
        </w:rPr>
        <w:t>三</w:t>
      </w:r>
      <w:r>
        <w:rPr>
          <w:rFonts w:ascii="宋体" w:hAnsi="宋体" w:eastAsia="宋体" w:cs="宋体"/>
          <w:color w:val="auto"/>
          <w:spacing w:val="9"/>
          <w:sz w:val="20"/>
          <w:szCs w:val="20"/>
        </w:rPr>
        <w:t>份，殡葬服务</w:t>
      </w:r>
      <w:r>
        <w:rPr>
          <w:rFonts w:hint="eastAsia" w:ascii="宋体" w:hAnsi="宋体" w:eastAsia="宋体" w:cs="宋体"/>
          <w:color w:val="auto"/>
          <w:spacing w:val="9"/>
          <w:sz w:val="20"/>
          <w:szCs w:val="20"/>
          <w:lang w:val="en-US" w:eastAsia="zh-CN"/>
        </w:rPr>
        <w:t>单位</w:t>
      </w:r>
      <w:r>
        <w:rPr>
          <w:rFonts w:ascii="宋体" w:hAnsi="宋体" w:eastAsia="宋体" w:cs="宋体"/>
          <w:color w:val="auto"/>
          <w:spacing w:val="9"/>
          <w:sz w:val="20"/>
          <w:szCs w:val="20"/>
        </w:rPr>
        <w:t>、民政部门</w:t>
      </w:r>
      <w:r>
        <w:rPr>
          <w:rFonts w:hint="eastAsia" w:ascii="宋体" w:hAnsi="宋体" w:eastAsia="宋体" w:cs="宋体"/>
          <w:color w:val="auto"/>
          <w:spacing w:val="9"/>
          <w:sz w:val="20"/>
          <w:szCs w:val="20"/>
          <w:lang w:eastAsia="zh-CN"/>
        </w:rPr>
        <w:t>、</w:t>
      </w:r>
      <w:r>
        <w:rPr>
          <w:rFonts w:hint="eastAsia" w:ascii="宋体" w:hAnsi="宋体" w:eastAsia="宋体" w:cs="宋体"/>
          <w:color w:val="auto"/>
          <w:spacing w:val="9"/>
          <w:sz w:val="20"/>
          <w:szCs w:val="20"/>
          <w:lang w:val="en-US" w:eastAsia="zh-CN"/>
        </w:rPr>
        <w:t>财政部门</w:t>
      </w:r>
      <w:r>
        <w:rPr>
          <w:rFonts w:ascii="宋体" w:hAnsi="宋体" w:eastAsia="宋体" w:cs="宋体"/>
          <w:color w:val="auto"/>
          <w:spacing w:val="9"/>
          <w:sz w:val="20"/>
          <w:szCs w:val="20"/>
        </w:rPr>
        <w:t>各</w:t>
      </w:r>
      <w:r>
        <w:rPr>
          <w:rFonts w:ascii="宋体" w:hAnsi="宋体" w:eastAsia="宋体" w:cs="宋体"/>
          <w:color w:val="auto"/>
          <w:spacing w:val="8"/>
          <w:sz w:val="20"/>
          <w:szCs w:val="20"/>
        </w:rPr>
        <w:t>留存一份</w:t>
      </w:r>
      <w:r>
        <w:rPr>
          <w:rFonts w:hint="eastAsia" w:ascii="宋体" w:hAnsi="宋体" w:eastAsia="宋体" w:cs="宋体"/>
          <w:color w:val="auto"/>
          <w:spacing w:val="8"/>
          <w:sz w:val="20"/>
          <w:szCs w:val="20"/>
          <w:lang w:eastAsia="zh-CN"/>
        </w:rPr>
        <w:t>。</w:t>
      </w:r>
    </w:p>
    <w:sectPr>
      <w:footerReference r:id="rId5" w:type="default"/>
      <w:pgSz w:w="16838" w:h="11906" w:orient="landscape"/>
      <w:pgMar w:top="1406" w:right="1440" w:bottom="1406"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ESI楷体-GB2312">
    <w:altName w:val="楷体_GB2312"/>
    <w:panose1 w:val="02000500000000000000"/>
    <w:charset w:val="86"/>
    <w:family w:val="auto"/>
    <w:pitch w:val="default"/>
    <w:sig w:usb0="00000000" w:usb1="00000000" w:usb2="00000012" w:usb3="00000000" w:csb0="0004000F" w:csb1="00000000"/>
  </w:font>
  <w:font w:name="FangSong_GB2312">
    <w:altName w:val="仿宋_GB2312"/>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05CB8">
    <w:pPr>
      <w:spacing w:line="235" w:lineRule="auto"/>
      <w:ind w:left="122"/>
      <w:rPr>
        <w:rFonts w:ascii="宋体" w:hAnsi="宋体" w:eastAsia="宋体" w:cs="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E1D7FF">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4DE1D7FF">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35361">
    <w:pPr>
      <w:spacing w:line="235" w:lineRule="auto"/>
      <w:ind w:left="12188"/>
      <w:rPr>
        <w:rFonts w:ascii="宋体" w:hAnsi="宋体" w:eastAsia="宋体" w:cs="宋体"/>
        <w:sz w:val="18"/>
        <w:szCs w:val="18"/>
      </w:rPr>
    </w:pPr>
  </w:p>
  <w:p w14:paraId="54A81FEC">
    <w:pPr>
      <w:spacing w:line="235" w:lineRule="auto"/>
      <w:rPr>
        <w:rFonts w:ascii="宋体" w:hAnsi="宋体" w:eastAsia="宋体" w:cs="宋体"/>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F165C5">
                          <w:pPr>
                            <w:pStyle w:val="4"/>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8</w:t>
                          </w:r>
                          <w:r>
                            <w:rPr>
                              <w:sz w:val="28"/>
                              <w:szCs w:val="28"/>
                            </w:rPr>
                            <w:fldChar w:fldCharType="end"/>
                          </w:r>
                          <w:r>
                            <w:rPr>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BF165C5">
                    <w:pPr>
                      <w:pStyle w:val="4"/>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8</w:t>
                    </w:r>
                    <w:r>
                      <w:rPr>
                        <w:sz w:val="28"/>
                        <w:szCs w:val="28"/>
                      </w:rPr>
                      <w:fldChar w:fldCharType="end"/>
                    </w:r>
                    <w:r>
                      <w:rPr>
                        <w:sz w:val="28"/>
                        <w:szCs w:val="28"/>
                      </w:rPr>
                      <w:t xml:space="preserve"> </w:t>
                    </w:r>
                    <w: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5C974">
    <w:pPr>
      <w:pStyle w:val="5"/>
    </w:pPr>
  </w:p>
  <w:p w14:paraId="59DFDBD0">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9AC7CB"/>
    <w:multiLevelType w:val="singleLevel"/>
    <w:tmpl w:val="4A9AC7C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FC7FBB"/>
    <w:rsid w:val="023C73FA"/>
    <w:rsid w:val="0446298E"/>
    <w:rsid w:val="18747230"/>
    <w:rsid w:val="1E67559F"/>
    <w:rsid w:val="1EAA1A2B"/>
    <w:rsid w:val="20DA14EB"/>
    <w:rsid w:val="23626F0A"/>
    <w:rsid w:val="238C1259"/>
    <w:rsid w:val="27D25752"/>
    <w:rsid w:val="2AF9FBA9"/>
    <w:rsid w:val="2C951EC5"/>
    <w:rsid w:val="2CEB6FD0"/>
    <w:rsid w:val="318A01FF"/>
    <w:rsid w:val="3692411B"/>
    <w:rsid w:val="3B597F66"/>
    <w:rsid w:val="4AFC7FBB"/>
    <w:rsid w:val="4CF75AC3"/>
    <w:rsid w:val="51322F01"/>
    <w:rsid w:val="528E6BC5"/>
    <w:rsid w:val="57E7E203"/>
    <w:rsid w:val="5A2A4020"/>
    <w:rsid w:val="60420021"/>
    <w:rsid w:val="65FC3836"/>
    <w:rsid w:val="687F1367"/>
    <w:rsid w:val="69CD795D"/>
    <w:rsid w:val="700E14A4"/>
    <w:rsid w:val="78127C04"/>
    <w:rsid w:val="7A7D3B20"/>
    <w:rsid w:val="7DCF5BD7"/>
    <w:rsid w:val="B75D6CBF"/>
    <w:rsid w:val="E1F76EFA"/>
    <w:rsid w:val="E767B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20"/>
    </w:pPr>
    <w:rPr>
      <w:rFonts w:ascii="宋体" w:hAnsi="宋体" w:eastAsia="宋体" w:cs="宋体"/>
      <w:sz w:val="32"/>
      <w:szCs w:val="32"/>
      <w:lang w:val="zh-CN" w:eastAsia="zh-CN" w:bidi="zh-CN"/>
    </w:rPr>
  </w:style>
  <w:style w:type="paragraph" w:styleId="3">
    <w:name w:val="toc 3"/>
    <w:basedOn w:val="1"/>
    <w:next w:val="1"/>
    <w:qFormat/>
    <w:uiPriority w:val="0"/>
    <w:pPr>
      <w:ind w:left="420"/>
    </w:pPr>
    <w:rPr>
      <w:b/>
      <w:sz w:val="30"/>
      <w:szCs w:val="3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Body Text First Indent1"/>
    <w:basedOn w:val="2"/>
    <w:qFormat/>
    <w:uiPriority w:val="0"/>
    <w:pPr>
      <w:tabs>
        <w:tab w:val="center" w:pos="4153"/>
        <w:tab w:val="right" w:pos="8306"/>
      </w:tabs>
      <w:snapToGrid/>
      <w:spacing w:afterLines="0"/>
      <w:ind w:firstLine="420" w:firstLineChars="100"/>
      <w:jc w:val="both"/>
    </w:pPr>
    <w:rPr>
      <w:rFonts w:ascii="Times New Roman" w:hAnsi="Times New Roman" w:eastAsia="宋体" w:cs="Times New Roman"/>
      <w:sz w:val="21"/>
      <w:szCs w:val="22"/>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f881389d-ec94-48f5-bd6b-8386b5c58893</errorID>
      <errorWord>人员</errorWord>
      <group>L1_AI</group>
      <groupName>深度校对</groupName>
      <ability>L2_AI_Word</ability>
      <abilityName>字词纠错</abilityName>
      <candidateList>
        <item>的人员</item>
      </candidateList>
      <explain/>
      <paraID>567EC675</paraID>
      <start>61</start>
      <end>63</end>
      <status>ignored</status>
      <modifiedWord/>
      <trackRevisions>false</trackRevisions>
    </reviewItem>
    <reviewItem>
      <errorID>f6790588-37b8-4034-8ac2-eea81a86d801</errorID>
      <errorWord>供养对象</errorWord>
      <group>L1_AI</group>
      <groupName>深度校对</groupName>
      <ability>L2_AI_Grammar</ability>
      <abilityName>语法纠错</abilityName>
      <candidateList>
        <item>人员</item>
      </candidateList>
      <explain>〈名〉担任某种职务的人：机关工作～｜值班～｜～配备。</explain>
      <paraID>567EC675</paraID>
      <start>111</start>
      <end>115</end>
      <status>ignored</status>
      <modifiedWord/>
      <trackRevisions>false</trackRevisions>
    </reviewItem>
    <reviewItem>
      <errorID>7c59f381-222a-42eb-a9c1-db550b74224f</errorID>
      <errorWord>以及</errorWord>
      <group>L1_AI</group>
      <groupName>深度校对</groupName>
      <ability>L2_AI_Punc</ability>
      <abilityName>标点纠错</abilityName>
      <candidateList>
        <item>，以及</item>
      </candidateList>
      <explain/>
      <paraID>2DAAB878</paraID>
      <start>85</start>
      <end>87</end>
      <status>ignored</status>
      <modifiedWord/>
      <trackRevisions>false</trackRevisions>
    </reviewItem>
    <reviewItem>
      <errorID>899b97c5-4fe4-4ef4-9325-274cbfd2e0e7</errorID>
      <errorWord>由</errorWord>
      <group>L1_AI</group>
      <groupName>深度校对</groupName>
      <ability>L2_AI_Grammar</ability>
      <abilityName>语法纠错</abilityName>
      <candidateList>
        <item>的家属由</item>
      </candidateList>
      <explain/>
      <paraID>2FF9DB9C</paraID>
      <start>4</start>
      <end>5</end>
      <status>ignored</status>
      <modifiedWord/>
      <trackRevisions>false</trackRevisions>
    </reviewItem>
    <reviewItem>
      <errorID>018dc7c7-88b6-4db1-98f6-7cb64ebf1d5e</errorID>
      <errorWord>在</errorWord>
      <group>L1_AI</group>
      <groupName>深度校对</groupName>
      <ability>L2_AI_Punc</ability>
      <abilityName>标点纠错</abilityName>
      <candidateList>
        <item>，在</item>
      </candidateList>
      <explain/>
      <paraID> 1C1F132</paraID>
      <start>61</start>
      <end>62</end>
      <status>ignored</status>
      <modifiedWord/>
      <trackRevisions>false</trackRevisions>
    </reviewItem>
    <reviewItem>
      <errorID>4a941804-5514-4a6e-bc7e-3339e0892916</errorID>
      <errorWord>基础</errorWord>
      <group>L1_AI</group>
      <groupName>深度校对</groupName>
      <ability>L2_AI_Word</ability>
      <abilityName>字词纠错</abilityName>
      <candidateList>
        <item>的基础</item>
      </candidateList>
      <explain/>
      <paraID> 1C1F132</paraID>
      <start>77</start>
      <end>80</end>
      <status>modified</status>
      <modifiedWord>的基础</modifiedWord>
      <trackRevisions>false</trackRevisions>
    </reviewItem>
    <reviewItem>
      <errorID>e0c033b9-fb32-4e44-8167-9d8502d5184c</errorID>
      <errorWord>由</errorWord>
      <group>L1_AI</group>
      <groupName>深度校对</groupName>
      <ability>L2_AI_Punc</ability>
      <abilityName>标点纠错</abilityName>
      <candidateList>
        <item>，由</item>
      </candidateList>
      <explain/>
      <paraID> 1C1F132</paraID>
      <start>81</start>
      <end>82</end>
      <status>ignored</status>
      <modifiedWord/>
      <trackRevisions>false</trackRevisions>
    </reviewItem>
    <reviewItem>
      <errorID>f5760058-e53a-4640-88c1-d8fa62d20c94</errorID>
      <errorWord> </errorWord>
      <group>L1_AI</group>
      <groupName>深度校对</groupName>
      <ability>L2_AI_Punc</ability>
      <abilityName>标点纠错</abilityName>
      <candidateList>
        <item/>
      </candidateList>
      <explain>此处空格冗余，建议删除。</explain>
      <paraID>1EA08C79</paraID>
      <start>8</start>
      <end>8</end>
      <status>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55e803-408f-4593-9ee1-8d849134745b}">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4242</Words>
  <Characters>4323</Characters>
  <Lines>0</Lines>
  <Paragraphs>0</Paragraphs>
  <TotalTime>5</TotalTime>
  <ScaleCrop>false</ScaleCrop>
  <LinksUpToDate>false</LinksUpToDate>
  <CharactersWithSpaces>4557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2025-08-27T15:02:00Z</dcterms:created>
  <dc:creator>Administrator</dc:creator>
  <cp:lastModifiedBy>王雅萍</cp:lastModifiedBy>
  <cp:lastPrinted>2025-12-17T02:34:54Z</cp:lastPrinted>
  <dcterms:modified xsi:type="dcterms:W3CDTF">2025-12-17T02:35:46Z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eyJoZGlkIjoiMDA3YmRhNDdjMGRlOTQ2NWE4YjczODBkZDRiNGE0OWYiLCJ1c2VySWQiOiIxNzMyNjA1OTk5In0=</vt:lpwstr>
  </property>
  <property fmtid="{D5CDD505-2E9C-101B-9397-08002B2CF9AE}" pid="4" name="ICV">
    <vt:lpwstr>8CE345DE960E4478B1614CF99F718FC7_13</vt:lpwstr>
  </property>
</Properties>
</file>