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2CCA39">
      <w:pPr>
        <w:keepNext w:val="0"/>
        <w:keepLines w:val="0"/>
        <w:pageBreakBefore w:val="0"/>
        <w:widowControl w:val="0"/>
        <w:kinsoku/>
        <w:wordWrap/>
        <w:overflowPunct/>
        <w:topLinePunct w:val="0"/>
        <w:autoSpaceDE w:val="0"/>
        <w:autoSpaceDN/>
        <w:bidi w:val="0"/>
        <w:adjustRightInd/>
        <w:snapToGrid/>
        <w:spacing w:line="600" w:lineRule="exact"/>
        <w:jc w:val="center"/>
        <w:textAlignment w:val="auto"/>
        <w:rPr>
          <w:rFonts w:hint="eastAsia" w:ascii="方正小标宋_GBK" w:hAnsi="方正小标宋_GBK" w:eastAsia="方正小标宋_GBK" w:cs="方正小标宋_GBK"/>
          <w:b w:val="0"/>
          <w:bCs w:val="0"/>
          <w:sz w:val="44"/>
          <w:szCs w:val="44"/>
        </w:rPr>
      </w:pPr>
      <w:r>
        <w:rPr>
          <w:rFonts w:hint="eastAsia" w:ascii="方正小标宋_GBK" w:hAnsi="方正小标宋_GBK" w:eastAsia="方正小标宋_GBK" w:cs="方正小标宋_GBK"/>
          <w:b w:val="0"/>
          <w:bCs w:val="0"/>
          <w:sz w:val="44"/>
          <w:szCs w:val="44"/>
          <w:lang w:eastAsia="zh-CN"/>
        </w:rPr>
        <w:t>牡丹江市国防动员</w:t>
      </w:r>
      <w:r>
        <w:rPr>
          <w:rFonts w:hint="eastAsia" w:ascii="方正小标宋_GBK" w:hAnsi="方正小标宋_GBK" w:eastAsia="方正小标宋_GBK" w:cs="方正小标宋_GBK"/>
          <w:b w:val="0"/>
          <w:bCs w:val="0"/>
          <w:sz w:val="44"/>
          <w:szCs w:val="44"/>
        </w:rPr>
        <w:t>办公室</w:t>
      </w:r>
    </w:p>
    <w:p w14:paraId="6AF288FC">
      <w:pPr>
        <w:keepNext w:val="0"/>
        <w:keepLines w:val="0"/>
        <w:pageBreakBefore w:val="0"/>
        <w:widowControl w:val="0"/>
        <w:kinsoku/>
        <w:wordWrap/>
        <w:overflowPunct/>
        <w:topLinePunct w:val="0"/>
        <w:autoSpaceDE w:val="0"/>
        <w:autoSpaceDN/>
        <w:bidi w:val="0"/>
        <w:adjustRightInd/>
        <w:snapToGrid/>
        <w:spacing w:line="600" w:lineRule="exact"/>
        <w:jc w:val="center"/>
        <w:textAlignment w:val="auto"/>
        <w:rPr>
          <w:rFonts w:hint="eastAsia" w:ascii="方正小标宋_GBK" w:hAnsi="方正小标宋_GBK" w:eastAsia="方正小标宋_GBK" w:cs="方正小标宋_GBK"/>
          <w:b w:val="0"/>
          <w:bCs w:val="0"/>
          <w:sz w:val="44"/>
          <w:szCs w:val="44"/>
        </w:rPr>
      </w:pPr>
      <w:r>
        <w:rPr>
          <w:rFonts w:hint="eastAsia" w:ascii="方正小标宋_GBK" w:hAnsi="方正小标宋_GBK" w:eastAsia="方正小标宋_GBK" w:cs="方正小标宋_GBK"/>
          <w:b w:val="0"/>
          <w:bCs w:val="0"/>
          <w:sz w:val="44"/>
          <w:szCs w:val="44"/>
        </w:rPr>
        <w:t>行政</w:t>
      </w:r>
      <w:r>
        <w:rPr>
          <w:rFonts w:hint="eastAsia" w:ascii="方正小标宋_GBK" w:hAnsi="方正小标宋_GBK" w:eastAsia="方正小标宋_GBK" w:cs="方正小标宋_GBK"/>
          <w:b w:val="0"/>
          <w:bCs w:val="0"/>
          <w:sz w:val="44"/>
          <w:szCs w:val="44"/>
          <w:lang w:eastAsia="zh-CN"/>
        </w:rPr>
        <w:t>征收</w:t>
      </w:r>
      <w:r>
        <w:rPr>
          <w:rFonts w:hint="eastAsia" w:ascii="方正小标宋_GBK" w:hAnsi="方正小标宋_GBK" w:eastAsia="方正小标宋_GBK" w:cs="方正小标宋_GBK"/>
          <w:b w:val="0"/>
          <w:bCs w:val="0"/>
          <w:sz w:val="44"/>
          <w:szCs w:val="44"/>
        </w:rPr>
        <w:t>告知书</w:t>
      </w:r>
    </w:p>
    <w:p w14:paraId="50E29524">
      <w:pPr>
        <w:keepNext w:val="0"/>
        <w:keepLines w:val="0"/>
        <w:pageBreakBefore w:val="0"/>
        <w:widowControl w:val="0"/>
        <w:kinsoku/>
        <w:wordWrap/>
        <w:overflowPunct/>
        <w:topLinePunct w:val="0"/>
        <w:autoSpaceDE w:val="0"/>
        <w:autoSpaceDN/>
        <w:bidi w:val="0"/>
        <w:adjustRightInd/>
        <w:snapToGrid/>
        <w:spacing w:line="600" w:lineRule="exact"/>
        <w:ind w:firstLine="320" w:firstLineChars="100"/>
        <w:jc w:val="center"/>
        <w:textAlignment w:val="auto"/>
        <w:rPr>
          <w:rFonts w:hint="eastAsia" w:ascii="楷体" w:hAnsi="楷体" w:eastAsia="楷体"/>
          <w:sz w:val="32"/>
          <w:szCs w:val="32"/>
        </w:rPr>
      </w:pPr>
      <w:r>
        <w:rPr>
          <w:rFonts w:hint="eastAsia" w:ascii="楷体" w:hAnsi="楷体" w:eastAsia="楷体"/>
          <w:sz w:val="32"/>
          <w:szCs w:val="32"/>
          <w:lang w:eastAsia="zh-CN"/>
        </w:rPr>
        <w:t>牡国动征</w:t>
      </w:r>
      <w:r>
        <w:rPr>
          <w:rFonts w:hint="eastAsia" w:ascii="楷体" w:hAnsi="楷体" w:eastAsia="楷体"/>
          <w:sz w:val="32"/>
          <w:szCs w:val="32"/>
        </w:rPr>
        <w:t>先告字〔</w:t>
      </w:r>
      <w:r>
        <w:rPr>
          <w:rFonts w:hint="eastAsia" w:ascii="楷体" w:hAnsi="楷体" w:eastAsia="楷体"/>
          <w:sz w:val="32"/>
          <w:szCs w:val="32"/>
          <w:lang w:val="en-US" w:eastAsia="zh-CN"/>
        </w:rPr>
        <w:t>2026</w:t>
      </w:r>
      <w:r>
        <w:rPr>
          <w:rFonts w:hint="eastAsia" w:ascii="楷体" w:hAnsi="楷体" w:eastAsia="楷体"/>
          <w:sz w:val="32"/>
          <w:szCs w:val="32"/>
        </w:rPr>
        <w:t>〕</w:t>
      </w:r>
      <w:r>
        <w:rPr>
          <w:rFonts w:hint="eastAsia" w:ascii="楷体" w:hAnsi="楷体" w:eastAsia="楷体"/>
          <w:sz w:val="32"/>
          <w:szCs w:val="32"/>
          <w:highlight w:val="none"/>
          <w:lang w:val="en-US" w:eastAsia="zh-CN"/>
        </w:rPr>
        <w:t>1</w:t>
      </w:r>
      <w:r>
        <w:rPr>
          <w:rFonts w:hint="eastAsia" w:ascii="楷体" w:hAnsi="楷体" w:eastAsia="楷体"/>
          <w:sz w:val="32"/>
          <w:szCs w:val="32"/>
        </w:rPr>
        <w:t>号</w:t>
      </w:r>
    </w:p>
    <w:p w14:paraId="2DBE5B9D">
      <w:pPr>
        <w:keepNext w:val="0"/>
        <w:keepLines w:val="0"/>
        <w:pageBreakBefore w:val="0"/>
        <w:widowControl w:val="0"/>
        <w:kinsoku/>
        <w:wordWrap/>
        <w:overflowPunct/>
        <w:topLinePunct w:val="0"/>
        <w:autoSpaceDE w:val="0"/>
        <w:autoSpaceDN/>
        <w:bidi w:val="0"/>
        <w:adjustRightInd/>
        <w:snapToGrid/>
        <w:spacing w:line="600" w:lineRule="exact"/>
        <w:jc w:val="both"/>
        <w:textAlignment w:val="auto"/>
        <w:rPr>
          <w:rFonts w:hint="eastAsia" w:ascii="楷体" w:hAnsi="楷体" w:eastAsia="楷体"/>
          <w:sz w:val="32"/>
          <w:szCs w:val="32"/>
        </w:rPr>
      </w:pPr>
    </w:p>
    <w:p w14:paraId="4BC040E3">
      <w:pPr>
        <w:keepNext w:val="0"/>
        <w:keepLines w:val="0"/>
        <w:pageBreakBefore w:val="0"/>
        <w:widowControl w:val="0"/>
        <w:kinsoku/>
        <w:wordWrap/>
        <w:overflowPunct/>
        <w:topLinePunct w:val="0"/>
        <w:autoSpaceDE w:val="0"/>
        <w:autoSpaceDN/>
        <w:bidi w:val="0"/>
        <w:adjustRightInd/>
        <w:snapToGrid/>
        <w:spacing w:line="60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牡丹江环龙置业有限公司</w:t>
      </w:r>
      <w:r>
        <w:rPr>
          <w:rFonts w:hint="eastAsia" w:ascii="仿宋_GB2312" w:hAnsi="仿宋_GB2312" w:eastAsia="仿宋_GB2312" w:cs="仿宋_GB2312"/>
          <w:sz w:val="32"/>
          <w:szCs w:val="32"/>
        </w:rPr>
        <w:t>：</w:t>
      </w:r>
    </w:p>
    <w:p w14:paraId="28D32D2B">
      <w:pPr>
        <w:keepNext w:val="0"/>
        <w:keepLines w:val="0"/>
        <w:pageBreakBefore w:val="0"/>
        <w:widowControl w:val="0"/>
        <w:kinsoku/>
        <w:wordWrap/>
        <w:overflowPunct/>
        <w:topLinePunct w:val="0"/>
        <w:autoSpaceDE w:val="0"/>
        <w:autoSpaceDN/>
        <w:bidi w:val="0"/>
        <w:adjustRightInd/>
        <w:snapToGrid/>
        <w:spacing w:line="600" w:lineRule="exact"/>
        <w:ind w:firstLine="645"/>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lang w:eastAsia="zh-CN"/>
        </w:rPr>
        <w:t>本机关于</w:t>
      </w:r>
      <w:r>
        <w:rPr>
          <w:rFonts w:hint="eastAsia" w:ascii="仿宋_GB2312" w:hAnsi="仿宋_GB2312" w:eastAsia="仿宋_GB2312" w:cs="仿宋_GB2312"/>
          <w:sz w:val="32"/>
          <w:szCs w:val="32"/>
          <w:lang w:val="en-US" w:eastAsia="zh-CN"/>
        </w:rPr>
        <w:t>2026</w:t>
      </w:r>
      <w:r>
        <w:rPr>
          <w:rFonts w:hint="eastAsia" w:ascii="仿宋_GB2312" w:hAnsi="仿宋_GB2312" w:eastAsia="仿宋_GB2312" w:cs="仿宋_GB2312"/>
          <w:sz w:val="32"/>
          <w:szCs w:val="32"/>
          <w:highlight w:val="none"/>
          <w:lang w:val="en-US" w:eastAsia="zh-CN"/>
        </w:rPr>
        <w:t>年1月15日，</w:t>
      </w:r>
      <w:r>
        <w:rPr>
          <w:rFonts w:hint="eastAsia" w:ascii="仿宋_GB2312" w:hAnsi="仿宋_GB2312" w:eastAsia="仿宋_GB2312" w:cs="仿宋_GB2312"/>
          <w:sz w:val="32"/>
          <w:szCs w:val="32"/>
          <w:lang w:val="en-US" w:eastAsia="zh-CN"/>
        </w:rPr>
        <w:t>对你（单位）开发建设的</w:t>
      </w:r>
      <w:r>
        <w:rPr>
          <w:rFonts w:hint="eastAsia" w:ascii="仿宋_GB2312" w:hAnsi="仿宋_GB2312" w:eastAsia="仿宋_GB2312" w:cs="仿宋_GB2312"/>
          <w:sz w:val="32"/>
          <w:szCs w:val="32"/>
          <w:highlight w:val="none"/>
          <w:lang w:val="en-US" w:eastAsia="zh-CN"/>
        </w:rPr>
        <w:t>环龙湾小区二期二区项目</w:t>
      </w:r>
      <w:r>
        <w:rPr>
          <w:rFonts w:hint="eastAsia" w:ascii="仿宋_GB2312" w:hAnsi="仿宋_GB2312" w:eastAsia="仿宋_GB2312" w:cs="仿宋_GB2312"/>
          <w:sz w:val="32"/>
          <w:szCs w:val="32"/>
          <w:lang w:val="en-US" w:eastAsia="zh-CN"/>
        </w:rPr>
        <w:t>未履行人防建设一事立案调查。经调查，你（单位）在</w:t>
      </w:r>
      <w:r>
        <w:rPr>
          <w:rFonts w:hint="eastAsia" w:ascii="仿宋_GB2312" w:hAnsi="仿宋_GB2312" w:eastAsia="仿宋_GB2312" w:cs="仿宋_GB2312"/>
          <w:sz w:val="32"/>
          <w:szCs w:val="32"/>
          <w:highlight w:val="none"/>
          <w:lang w:val="en-US" w:eastAsia="zh-CN"/>
        </w:rPr>
        <w:t>莲花湖路以东、阜新街以北建</w:t>
      </w:r>
      <w:r>
        <w:rPr>
          <w:rFonts w:hint="eastAsia" w:ascii="仿宋_GB2312" w:hAnsi="仿宋_GB2312" w:eastAsia="仿宋_GB2312" w:cs="仿宋_GB2312"/>
          <w:sz w:val="32"/>
          <w:szCs w:val="32"/>
          <w:lang w:val="en-US" w:eastAsia="zh-CN"/>
        </w:rPr>
        <w:t>设的环龙湾小区二期二区</w:t>
      </w:r>
      <w:r>
        <w:rPr>
          <w:rFonts w:hint="eastAsia" w:ascii="仿宋_GB2312" w:hAnsi="仿宋_GB2312" w:eastAsia="仿宋_GB2312" w:cs="仿宋_GB2312"/>
          <w:sz w:val="32"/>
          <w:szCs w:val="32"/>
          <w:highlight w:val="none"/>
          <w:lang w:val="en-US" w:eastAsia="zh-CN"/>
        </w:rPr>
        <w:t>项目</w:t>
      </w:r>
      <w:r>
        <w:rPr>
          <w:rFonts w:hint="eastAsia" w:ascii="仿宋_GB2312" w:hAnsi="仿宋_GB2312" w:eastAsia="仿宋_GB2312" w:cs="仿宋_GB2312"/>
          <w:sz w:val="32"/>
          <w:szCs w:val="32"/>
          <w:lang w:val="en-US" w:eastAsia="zh-CN"/>
        </w:rPr>
        <w:t>，于</w:t>
      </w:r>
      <w:r>
        <w:rPr>
          <w:rFonts w:hint="eastAsia" w:ascii="仿宋_GB2312" w:hAnsi="仿宋_GB2312" w:eastAsia="仿宋_GB2312" w:cs="仿宋_GB2312"/>
          <w:sz w:val="32"/>
          <w:szCs w:val="32"/>
          <w:highlight w:val="none"/>
          <w:lang w:val="en-US" w:eastAsia="zh-CN"/>
        </w:rPr>
        <w:t>2013年7月12日取得牡丹江对俄经济开发区管委会核准立项，2017年取得《建设工程规划许可证》2017-026号，</w:t>
      </w:r>
    </w:p>
    <w:p w14:paraId="60981315">
      <w:pPr>
        <w:keepNext w:val="0"/>
        <w:keepLines w:val="0"/>
        <w:pageBreakBefore w:val="0"/>
        <w:widowControl w:val="0"/>
        <w:kinsoku/>
        <w:wordWrap/>
        <w:overflowPunct/>
        <w:topLinePunct w:val="0"/>
        <w:autoSpaceDE w:val="0"/>
        <w:autoSpaceDN/>
        <w:bidi w:val="0"/>
        <w:adjustRightInd/>
        <w:snapToGrid/>
        <w:spacing w:line="600" w:lineRule="exact"/>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sz w:val="32"/>
          <w:szCs w:val="32"/>
          <w:highlight w:val="none"/>
          <w:lang w:val="en-US" w:eastAsia="zh-CN"/>
        </w:rPr>
        <w:t>地上建筑面积62277.91㎡，其中住宅楼面积56415.16㎡，配套公建面积5862.75㎡。该项目</w:t>
      </w:r>
      <w:r>
        <w:rPr>
          <w:rFonts w:hint="eastAsia" w:ascii="仿宋_GB2312" w:hAnsi="仿宋_GB2312" w:eastAsia="仿宋_GB2312" w:cs="仿宋_GB2312"/>
          <w:sz w:val="32"/>
          <w:szCs w:val="32"/>
          <w:lang w:val="en-US" w:eastAsia="zh-CN"/>
        </w:rPr>
        <w:t>有11</w:t>
      </w:r>
      <w:r>
        <w:rPr>
          <w:rFonts w:hint="eastAsia" w:ascii="仿宋_GB2312" w:hAnsi="仿宋_GB2312" w:eastAsia="仿宋_GB2312" w:cs="仿宋_GB2312"/>
          <w:sz w:val="32"/>
          <w:szCs w:val="32"/>
          <w:highlight w:val="none"/>
          <w:lang w:val="en-US" w:eastAsia="zh-CN"/>
        </w:rPr>
        <w:t>栋高层，有大量居民入住，</w:t>
      </w:r>
      <w:r>
        <w:rPr>
          <w:rFonts w:hint="eastAsia" w:ascii="仿宋_GB2312" w:hAnsi="仿宋_GB2312" w:eastAsia="仿宋_GB2312" w:cs="仿宋_GB2312"/>
          <w:sz w:val="32"/>
          <w:szCs w:val="32"/>
          <w:highlight w:val="none"/>
          <w:lang w:val="en" w:eastAsia="zh-CN"/>
        </w:rPr>
        <w:t>未配建防空地下室。</w:t>
      </w:r>
      <w:r>
        <w:rPr>
          <w:rFonts w:hint="eastAsia" w:ascii="仿宋_GB2312" w:hAnsi="仿宋_GB2312" w:eastAsia="仿宋_GB2312" w:cs="仿宋_GB2312"/>
          <w:sz w:val="32"/>
          <w:szCs w:val="32"/>
          <w:highlight w:val="none"/>
          <w:lang w:val="en-US" w:eastAsia="zh-CN"/>
        </w:rPr>
        <w:t>该项目享受棚户区改造优惠政策，安置房住宅部分全免，商品房住宅部分减半。回迁安置面积727.57㎡，</w:t>
      </w:r>
      <w:r>
        <w:rPr>
          <w:rFonts w:hint="eastAsia" w:ascii="仿宋_GB2312" w:hAnsi="仿宋_GB2312" w:eastAsia="仿宋_GB2312" w:cs="仿宋_GB2312"/>
          <w:sz w:val="32"/>
          <w:szCs w:val="32"/>
          <w:lang w:val="en-US" w:eastAsia="zh-CN"/>
        </w:rPr>
        <w:t>应缴纳人防易地建设费（56415.16-727.57）㎡</w:t>
      </w:r>
      <w:r>
        <w:rPr>
          <w:rFonts w:hint="eastAsia" w:ascii="仿宋_GB2312" w:hAnsi="仿宋_GB2312" w:eastAsia="仿宋_GB2312" w:cs="仿宋_GB2312"/>
          <w:color w:val="auto"/>
          <w:sz w:val="32"/>
          <w:szCs w:val="32"/>
          <w:lang w:val="en-US" w:eastAsia="zh-CN"/>
        </w:rPr>
        <w:t>×4%×1900元/㎡÷2+5862.75×</w:t>
      </w:r>
      <w:bookmarkStart w:id="0" w:name="_GoBack"/>
      <w:bookmarkEnd w:id="0"/>
      <w:r>
        <w:rPr>
          <w:rFonts w:hint="eastAsia" w:ascii="仿宋_GB2312" w:hAnsi="仿宋_GB2312" w:eastAsia="仿宋_GB2312" w:cs="仿宋_GB2312"/>
          <w:color w:val="auto"/>
          <w:sz w:val="32"/>
          <w:szCs w:val="32"/>
          <w:lang w:val="en-US" w:eastAsia="zh-CN"/>
        </w:rPr>
        <w:t>4%×1900元/㎡=2561697.42元。</w:t>
      </w:r>
    </w:p>
    <w:p w14:paraId="57896AB1">
      <w:pPr>
        <w:keepNext w:val="0"/>
        <w:keepLines w:val="0"/>
        <w:pageBreakBefore w:val="0"/>
        <w:widowControl w:val="0"/>
        <w:kinsoku/>
        <w:wordWrap/>
        <w:overflowPunct/>
        <w:topLinePunct w:val="0"/>
        <w:autoSpaceDE w:val="0"/>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根据《中华人民共和国人民防空法》第二十二条“城市新建民用建筑，按照国家有关规定修建战时可用于防空的地下室”、《黑龙江省实施</w:t>
      </w:r>
      <w:r>
        <w:rPr>
          <w:rFonts w:hint="eastAsia" w:ascii="仿宋_GB2312" w:hAnsi="仿宋_GB2312" w:eastAsia="仿宋_GB2312" w:cs="仿宋_GB2312"/>
          <w:sz w:val="32"/>
          <w:szCs w:val="32"/>
          <w:lang w:val="en-US" w:eastAsia="zh-CN"/>
        </w:rPr>
        <w:t>&lt;中华人民共和国人民防空法&gt;条例</w:t>
      </w:r>
      <w:r>
        <w:rPr>
          <w:rFonts w:hint="eastAsia" w:ascii="仿宋_GB2312" w:hAnsi="仿宋_GB2312" w:eastAsia="仿宋_GB2312" w:cs="仿宋_GB2312"/>
          <w:sz w:val="32"/>
          <w:szCs w:val="32"/>
          <w:lang w:eastAsia="zh-CN"/>
        </w:rPr>
        <w:t>》第九条“在城市规划区域内新建民用建筑，应当按国家和省有关规定，修建防空地下室。不宜修建防空地下室的民用建筑，建设单位应当按规定向人民防空主管部门缴纳易地建设费。”及</w:t>
      </w:r>
      <w:r>
        <w:rPr>
          <w:rFonts w:hint="eastAsia" w:ascii="仿宋_GB2312" w:hAnsi="仿宋_GB2312" w:eastAsia="仿宋_GB2312" w:cs="仿宋_GB2312"/>
          <w:sz w:val="32"/>
          <w:szCs w:val="32"/>
          <w:lang w:val="en-US" w:eastAsia="zh-CN"/>
        </w:rPr>
        <w:t>《国家计委财政部国家国防动员委员会建设部印发关于规范防空地下室易地建设收费的规定通知》第五条“防空地下室易地建设费由各级人防主管部门严格按照国家规定组织收取。”</w:t>
      </w:r>
      <w:r>
        <w:rPr>
          <w:rFonts w:hint="eastAsia" w:ascii="仿宋_GB2312" w:hAnsi="仿宋_GB2312" w:eastAsia="仿宋_GB2312" w:cs="仿宋_GB2312"/>
          <w:sz w:val="32"/>
          <w:szCs w:val="32"/>
          <w:lang w:eastAsia="zh-CN"/>
        </w:rPr>
        <w:t>的规定，本机关拟对你（单位）作出缴纳人防易地建</w:t>
      </w:r>
      <w:r>
        <w:rPr>
          <w:rFonts w:hint="eastAsia" w:ascii="仿宋_GB2312" w:hAnsi="仿宋_GB2312" w:eastAsia="仿宋_GB2312" w:cs="仿宋_GB2312"/>
          <w:sz w:val="32"/>
          <w:szCs w:val="32"/>
          <w:highlight w:val="none"/>
          <w:lang w:eastAsia="zh-CN"/>
        </w:rPr>
        <w:t>设费</w:t>
      </w:r>
      <w:r>
        <w:rPr>
          <w:rFonts w:hint="eastAsia" w:ascii="仿宋_GB2312" w:hAnsi="仿宋_GB2312" w:eastAsia="仿宋_GB2312" w:cs="仿宋_GB2312"/>
          <w:color w:val="auto"/>
          <w:sz w:val="32"/>
          <w:szCs w:val="32"/>
          <w:lang w:val="en-US" w:eastAsia="zh-CN"/>
        </w:rPr>
        <w:t>2561697.42</w:t>
      </w:r>
      <w:r>
        <w:rPr>
          <w:rFonts w:hint="eastAsia" w:ascii="仿宋_GB2312" w:hAnsi="仿宋_GB2312" w:eastAsia="仿宋_GB2312" w:cs="仿宋_GB2312"/>
          <w:sz w:val="32"/>
          <w:szCs w:val="32"/>
          <w:highlight w:val="none"/>
          <w:lang w:val="en-US" w:eastAsia="zh-CN"/>
        </w:rPr>
        <w:t>元</w:t>
      </w:r>
      <w:r>
        <w:rPr>
          <w:rFonts w:hint="eastAsia" w:ascii="仿宋_GB2312" w:hAnsi="仿宋_GB2312" w:eastAsia="仿宋_GB2312" w:cs="仿宋_GB2312"/>
          <w:sz w:val="32"/>
          <w:szCs w:val="32"/>
          <w:lang w:eastAsia="zh-CN"/>
        </w:rPr>
        <w:t>的行政征收决定。</w:t>
      </w:r>
    </w:p>
    <w:p w14:paraId="68442A4F">
      <w:pPr>
        <w:keepNext w:val="0"/>
        <w:keepLines w:val="0"/>
        <w:pageBreakBefore w:val="0"/>
        <w:widowControl w:val="0"/>
        <w:kinsoku/>
        <w:wordWrap/>
        <w:overflowPunct/>
        <w:topLinePunct w:val="0"/>
        <w:autoSpaceDE w:val="0"/>
        <w:autoSpaceDN/>
        <w:bidi w:val="0"/>
        <w:adjustRightInd/>
        <w:snapToGrid/>
        <w:spacing w:line="600" w:lineRule="exact"/>
        <w:ind w:firstLine="645"/>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你（单位）可在收到本告知之日起</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eastAsia="zh-CN"/>
        </w:rPr>
        <w:t>日内提出书面陈述、申辩意见或到牡丹江市人民防空办公室进行陈述、申辩以及要求举行听证，逾期不陈述、申辩、申请听证的，视为你（单位）放弃上述权利。</w:t>
      </w:r>
    </w:p>
    <w:p w14:paraId="6693F285">
      <w:pPr>
        <w:keepNext w:val="0"/>
        <w:keepLines w:val="0"/>
        <w:pageBreakBefore w:val="0"/>
        <w:widowControl w:val="0"/>
        <w:kinsoku/>
        <w:wordWrap/>
        <w:overflowPunct/>
        <w:topLinePunct w:val="0"/>
        <w:autoSpaceDE w:val="0"/>
        <w:autoSpaceDN/>
        <w:bidi w:val="0"/>
        <w:adjustRightInd/>
        <w:snapToGrid/>
        <w:spacing w:line="600" w:lineRule="exact"/>
        <w:ind w:firstLine="645"/>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14:paraId="5E68AB7F">
      <w:pPr>
        <w:keepNext w:val="0"/>
        <w:keepLines w:val="0"/>
        <w:pageBreakBefore w:val="0"/>
        <w:widowControl w:val="0"/>
        <w:kinsoku/>
        <w:wordWrap/>
        <w:overflowPunct/>
        <w:topLinePunct w:val="0"/>
        <w:autoSpaceDE w:val="0"/>
        <w:autoSpaceDN/>
        <w:bidi w:val="0"/>
        <w:adjustRightInd/>
        <w:snapToGrid/>
        <w:spacing w:line="600" w:lineRule="exact"/>
        <w:ind w:firstLine="645"/>
        <w:jc w:val="center"/>
        <w:textAlignment w:val="auto"/>
        <w:rPr>
          <w:rFonts w:hint="eastAsia" w:ascii="仿宋_GB2312" w:hAnsi="仿宋_GB2312" w:eastAsia="仿宋_GB2312" w:cs="仿宋_GB2312"/>
          <w:sz w:val="32"/>
          <w:szCs w:val="32"/>
          <w:lang w:val="en-US" w:eastAsia="zh-CN"/>
        </w:rPr>
      </w:pPr>
    </w:p>
    <w:p w14:paraId="096BFB06">
      <w:pPr>
        <w:keepNext w:val="0"/>
        <w:keepLines w:val="0"/>
        <w:pageBreakBefore w:val="0"/>
        <w:widowControl w:val="0"/>
        <w:kinsoku/>
        <w:wordWrap/>
        <w:overflowPunct/>
        <w:topLinePunct w:val="0"/>
        <w:autoSpaceDE w:val="0"/>
        <w:autoSpaceDN/>
        <w:bidi w:val="0"/>
        <w:adjustRightInd/>
        <w:snapToGrid/>
        <w:spacing w:line="600" w:lineRule="exact"/>
        <w:ind w:firstLine="645"/>
        <w:jc w:val="center"/>
        <w:textAlignment w:val="auto"/>
        <w:rPr>
          <w:rFonts w:hint="eastAsia" w:ascii="仿宋_GB2312" w:hAnsi="仿宋_GB2312" w:eastAsia="仿宋_GB2312" w:cs="仿宋_GB2312"/>
          <w:sz w:val="32"/>
          <w:szCs w:val="32"/>
          <w:lang w:val="en-US" w:eastAsia="zh-CN"/>
        </w:rPr>
      </w:pPr>
    </w:p>
    <w:p w14:paraId="594D047D">
      <w:pPr>
        <w:keepNext w:val="0"/>
        <w:keepLines w:val="0"/>
        <w:pageBreakBefore w:val="0"/>
        <w:widowControl w:val="0"/>
        <w:kinsoku/>
        <w:wordWrap/>
        <w:overflowPunct/>
        <w:topLinePunct w:val="0"/>
        <w:autoSpaceDE w:val="0"/>
        <w:autoSpaceDN/>
        <w:bidi w:val="0"/>
        <w:adjustRightInd/>
        <w:snapToGrid/>
        <w:spacing w:line="600" w:lineRule="exact"/>
        <w:ind w:firstLine="645"/>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p>
    <w:p w14:paraId="07339FE7">
      <w:pPr>
        <w:keepNext w:val="0"/>
        <w:keepLines w:val="0"/>
        <w:pageBreakBefore w:val="0"/>
        <w:widowControl w:val="0"/>
        <w:kinsoku/>
        <w:wordWrap/>
        <w:overflowPunct/>
        <w:topLinePunct w:val="0"/>
        <w:autoSpaceDE w:val="0"/>
        <w:autoSpaceDN/>
        <w:bidi w:val="0"/>
        <w:adjustRightInd/>
        <w:snapToGrid/>
        <w:spacing w:line="600" w:lineRule="exact"/>
        <w:ind w:firstLine="645"/>
        <w:jc w:val="center"/>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牡丹江市国防动员办公室</w:t>
      </w:r>
    </w:p>
    <w:p w14:paraId="0CF9BB9C">
      <w:pPr>
        <w:keepNext w:val="0"/>
        <w:keepLines w:val="0"/>
        <w:pageBreakBefore w:val="0"/>
        <w:widowControl w:val="0"/>
        <w:kinsoku/>
        <w:wordWrap/>
        <w:overflowPunct/>
        <w:topLinePunct w:val="0"/>
        <w:autoSpaceDE w:val="0"/>
        <w:autoSpaceDN/>
        <w:bidi w:val="0"/>
        <w:adjustRightInd/>
        <w:snapToGrid/>
        <w:spacing w:line="600" w:lineRule="exact"/>
        <w:ind w:firstLine="645"/>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2026</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日</w:t>
      </w:r>
    </w:p>
    <w:p w14:paraId="515EA8F4">
      <w:pPr>
        <w:keepNext w:val="0"/>
        <w:keepLines w:val="0"/>
        <w:pageBreakBefore w:val="0"/>
        <w:widowControl w:val="0"/>
        <w:kinsoku/>
        <w:wordWrap/>
        <w:overflowPunct/>
        <w:topLinePunct w:val="0"/>
        <w:autoSpaceDE w:val="0"/>
        <w:autoSpaceDN/>
        <w:bidi w:val="0"/>
        <w:adjustRightInd/>
        <w:snapToGrid/>
        <w:spacing w:line="600" w:lineRule="exact"/>
        <w:ind w:firstLine="645"/>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14:paraId="5E6443D7">
      <w:pPr>
        <w:keepNext w:val="0"/>
        <w:keepLines w:val="0"/>
        <w:pageBreakBefore w:val="0"/>
        <w:widowControl w:val="0"/>
        <w:kinsoku/>
        <w:wordWrap/>
        <w:overflowPunct/>
        <w:topLinePunct w:val="0"/>
        <w:autoSpaceDE w:val="0"/>
        <w:autoSpaceDN/>
        <w:bidi w:val="0"/>
        <w:adjustRightInd/>
        <w:snapToGrid/>
        <w:spacing w:line="600" w:lineRule="exact"/>
        <w:ind w:firstLine="645"/>
        <w:textAlignment w:val="auto"/>
        <w:rPr>
          <w:rFonts w:hint="eastAsia" w:ascii="仿宋_GB2312" w:hAnsi="仿宋_GB2312" w:eastAsia="仿宋_GB2312" w:cs="仿宋_GB2312"/>
          <w:sz w:val="32"/>
          <w:szCs w:val="32"/>
        </w:rPr>
      </w:pPr>
    </w:p>
    <w:p w14:paraId="4C201C3A">
      <w:pPr>
        <w:keepNext w:val="0"/>
        <w:keepLines w:val="0"/>
        <w:pageBreakBefore w:val="0"/>
        <w:widowControl w:val="0"/>
        <w:kinsoku/>
        <w:wordWrap/>
        <w:overflowPunct/>
        <w:topLinePunct w:val="0"/>
        <w:autoSpaceDE w:val="0"/>
        <w:autoSpaceDN/>
        <w:bidi w:val="0"/>
        <w:adjustRightInd/>
        <w:snapToGrid/>
        <w:spacing w:line="600" w:lineRule="exact"/>
        <w:textAlignment w:val="auto"/>
        <w:rPr>
          <w:rFonts w:hint="eastAsia" w:ascii="仿宋_GB2312" w:hAnsi="仿宋_GB2312" w:eastAsia="仿宋_GB2312" w:cs="仿宋_GB2312"/>
          <w:sz w:val="32"/>
          <w:szCs w:val="32"/>
        </w:rPr>
      </w:pPr>
    </w:p>
    <w:p w14:paraId="73BBF3F3">
      <w:pPr>
        <w:keepNext w:val="0"/>
        <w:keepLines w:val="0"/>
        <w:pageBreakBefore w:val="0"/>
        <w:widowControl w:val="0"/>
        <w:kinsoku/>
        <w:wordWrap/>
        <w:overflowPunct/>
        <w:topLinePunct w:val="0"/>
        <w:autoSpaceDE w:val="0"/>
        <w:autoSpaceDN/>
        <w:bidi w:val="0"/>
        <w:adjustRightInd/>
        <w:snapToGrid/>
        <w:spacing w:line="600" w:lineRule="exact"/>
        <w:textAlignment w:val="auto"/>
        <w:rPr>
          <w:rFonts w:hint="eastAsia" w:ascii="仿宋_GB2312" w:hAnsi="仿宋_GB2312" w:eastAsia="仿宋_GB2312" w:cs="仿宋_GB2312"/>
          <w:sz w:val="32"/>
          <w:szCs w:val="32"/>
        </w:rPr>
      </w:pPr>
    </w:p>
    <w:p w14:paraId="16869E97">
      <w:pPr>
        <w:keepNext w:val="0"/>
        <w:keepLines w:val="0"/>
        <w:pageBreakBefore w:val="0"/>
        <w:widowControl w:val="0"/>
        <w:kinsoku/>
        <w:wordWrap/>
        <w:overflowPunct/>
        <w:topLinePunct w:val="0"/>
        <w:autoSpaceDE w:val="0"/>
        <w:autoSpaceDN/>
        <w:bidi w:val="0"/>
        <w:adjustRightInd/>
        <w:snapToGrid/>
        <w:spacing w:line="600" w:lineRule="exact"/>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行政机关地址：</w:t>
      </w:r>
      <w:r>
        <w:rPr>
          <w:rFonts w:hint="eastAsia" w:ascii="仿宋_GB2312" w:hAnsi="仿宋_GB2312" w:eastAsia="仿宋_GB2312" w:cs="仿宋_GB2312"/>
          <w:sz w:val="32"/>
          <w:szCs w:val="32"/>
          <w:u w:val="single"/>
          <w:lang w:eastAsia="zh-CN"/>
        </w:rPr>
        <w:t xml:space="preserve"> 西安区景福街</w:t>
      </w:r>
      <w:r>
        <w:rPr>
          <w:rFonts w:hint="eastAsia" w:ascii="仿宋_GB2312" w:hAnsi="仿宋_GB2312" w:eastAsia="仿宋_GB2312" w:cs="仿宋_GB2312"/>
          <w:sz w:val="32"/>
          <w:szCs w:val="32"/>
          <w:u w:val="single"/>
          <w:lang w:val="en-US" w:eastAsia="zh-CN"/>
        </w:rPr>
        <w:t>206号</w:t>
      </w:r>
      <w:r>
        <w:rPr>
          <w:rFonts w:hint="eastAsia" w:ascii="仿宋_GB2312" w:hAnsi="仿宋_GB2312" w:eastAsia="仿宋_GB2312" w:cs="仿宋_GB2312"/>
          <w:sz w:val="32"/>
          <w:szCs w:val="32"/>
          <w:u w:val="single"/>
          <w:lang w:eastAsia="zh-CN"/>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lang w:eastAsia="zh-CN"/>
        </w:rPr>
        <w:t>邮政编码：</w:t>
      </w:r>
      <w:r>
        <w:rPr>
          <w:rFonts w:hint="eastAsia" w:ascii="仿宋_GB2312" w:hAnsi="仿宋_GB2312" w:eastAsia="仿宋_GB2312" w:cs="仿宋_GB2312"/>
          <w:sz w:val="32"/>
          <w:szCs w:val="32"/>
          <w:u w:val="single"/>
          <w:lang w:val="en-US" w:eastAsia="zh-CN"/>
        </w:rPr>
        <w:t xml:space="preserve">  157099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 xml:space="preserve"> </w:t>
      </w:r>
    </w:p>
    <w:p w14:paraId="3A1E640A">
      <w:pPr>
        <w:keepNext w:val="0"/>
        <w:keepLines w:val="0"/>
        <w:pageBreakBefore w:val="0"/>
        <w:widowControl w:val="0"/>
        <w:kinsoku/>
        <w:wordWrap/>
        <w:overflowPunct/>
        <w:topLinePunct w:val="0"/>
        <w:autoSpaceDE w:val="0"/>
        <w:autoSpaceDN/>
        <w:bidi w:val="0"/>
        <w:adjustRightInd/>
        <w:snapToGrid/>
        <w:spacing w:line="600" w:lineRule="exact"/>
        <w:jc w:val="both"/>
        <w:textAlignment w:val="auto"/>
        <w:rPr>
          <w:rFonts w:hint="default"/>
          <w:lang w:val="en-US"/>
        </w:rPr>
      </w:pPr>
      <w:r>
        <w:rPr>
          <w:rFonts w:hint="eastAsia" w:ascii="仿宋_GB2312" w:hAnsi="仿宋_GB2312" w:eastAsia="仿宋_GB2312" w:cs="仿宋_GB2312"/>
          <w:sz w:val="32"/>
          <w:szCs w:val="32"/>
          <w:lang w:eastAsia="zh-CN"/>
        </w:rPr>
        <w:t>行政机关联系人：</w:t>
      </w:r>
      <w:r>
        <w:rPr>
          <w:rFonts w:hint="eastAsia" w:ascii="仿宋_GB2312" w:hAnsi="仿宋_GB2312" w:eastAsia="仿宋_GB2312" w:cs="仿宋_GB2312"/>
          <w:sz w:val="32"/>
          <w:szCs w:val="32"/>
          <w:u w:val="single"/>
          <w:lang w:val="en-US" w:eastAsia="zh-CN"/>
        </w:rPr>
        <w:t xml:space="preserve">    李雪滢</w:t>
      </w:r>
      <w:r>
        <w:rPr>
          <w:rFonts w:hint="eastAsia" w:ascii="仿宋_GB2312" w:hAnsi="仿宋_GB2312" w:eastAsia="仿宋_GB2312" w:cs="仿宋_GB2312"/>
          <w:sz w:val="32"/>
          <w:szCs w:val="32"/>
          <w:u w:val="single"/>
          <w:lang w:eastAsia="zh-CN"/>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联系电话：</w:t>
      </w:r>
      <w:r>
        <w:rPr>
          <w:rFonts w:hint="eastAsia" w:ascii="仿宋_GB2312" w:hAnsi="仿宋_GB2312" w:eastAsia="仿宋_GB2312" w:cs="仿宋_GB2312"/>
          <w:sz w:val="32"/>
          <w:szCs w:val="32"/>
          <w:u w:val="single"/>
          <w:lang w:val="en-US" w:eastAsia="zh-CN"/>
        </w:rPr>
        <w:t xml:space="preserve"> 0453-6298709  </w:t>
      </w:r>
    </w:p>
    <w:sectPr>
      <w:footerReference r:id="rId3" w:type="default"/>
      <w:pgSz w:w="11906" w:h="16838"/>
      <w:pgMar w:top="1701" w:right="1474" w:bottom="1417"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2010600030101010101"/>
    <w:charset w:val="86"/>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汉仪细圆B5">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97A19F">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AE5E0E7">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AE5E0E7">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F2E22F9"/>
    <w:rsid w:val="26EF6EC9"/>
    <w:rsid w:val="38E35E1F"/>
    <w:rsid w:val="3B9D271B"/>
    <w:rsid w:val="3C7E4D74"/>
    <w:rsid w:val="3D37CCEB"/>
    <w:rsid w:val="55FE9C3B"/>
    <w:rsid w:val="5D75E5EF"/>
    <w:rsid w:val="5F3E85C5"/>
    <w:rsid w:val="692DE184"/>
    <w:rsid w:val="70F3E294"/>
    <w:rsid w:val="72EFD3F0"/>
    <w:rsid w:val="73DFF3C1"/>
    <w:rsid w:val="764940AC"/>
    <w:rsid w:val="77E53E1F"/>
    <w:rsid w:val="77ED7E41"/>
    <w:rsid w:val="77F6E455"/>
    <w:rsid w:val="7A3F9515"/>
    <w:rsid w:val="7ACFDA51"/>
    <w:rsid w:val="7BCE18D2"/>
    <w:rsid w:val="7DFDFDE8"/>
    <w:rsid w:val="7EE37DD1"/>
    <w:rsid w:val="7FBB981E"/>
    <w:rsid w:val="7FDB8A71"/>
    <w:rsid w:val="8FE7D72B"/>
    <w:rsid w:val="9FFED20D"/>
    <w:rsid w:val="D7FDB83A"/>
    <w:rsid w:val="DEFB1526"/>
    <w:rsid w:val="DFFBC643"/>
    <w:rsid w:val="E27F36A2"/>
    <w:rsid w:val="E3EB7B86"/>
    <w:rsid w:val="E3F66C74"/>
    <w:rsid w:val="EFAF5823"/>
    <w:rsid w:val="EFEF925F"/>
    <w:rsid w:val="F1FF9698"/>
    <w:rsid w:val="F67D6123"/>
    <w:rsid w:val="F6BDE1A5"/>
    <w:rsid w:val="F7BFA4D5"/>
    <w:rsid w:val="F8FE97FE"/>
    <w:rsid w:val="F9ADA258"/>
    <w:rsid w:val="FDBFDD48"/>
    <w:rsid w:val="FDDD07D8"/>
    <w:rsid w:val="FEBDE914"/>
    <w:rsid w:val="FF7F1584"/>
    <w:rsid w:val="FF9F44D3"/>
    <w:rsid w:val="FFFB3293"/>
    <w:rsid w:val="FFFC74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33</TotalTime>
  <ScaleCrop>false</ScaleCrop>
  <LinksUpToDate>false</LinksUpToDate>
  <CharactersWithSpaces>0</CharactersWithSpaces>
  <Application>WPS Office_12.1.2.23578_F1E327BC-269C-435d-A152-05C5408002CA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2021-09-20T00:32:00Z</dcterms:created>
  <dc:creator>Administrator</dc:creator>
  <cp:lastModifiedBy>greatwall</cp:lastModifiedBy>
  <dcterms:modified xsi:type="dcterms:W3CDTF">2026-02-04T15:19:35Z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2052-12.1.2.23578</vt:lpwstr>
  </property>
  <property fmtid="{D5CDD505-2E9C-101B-9397-08002B2CF9AE}" pid="3" name="ICV">
    <vt:lpwstr>388AEAEC9EA12F5707F382698C3A9869_42</vt:lpwstr>
  </property>
</Properties>
</file>