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after="0" w:line="560" w:lineRule="exact"/>
        <w:jc w:val="center"/>
        <w:outlineLvl w:val="0"/>
        <w:rPr>
          <w:rFonts w:hint="eastAsia" w:ascii="黑体" w:hAnsi="黑体" w:eastAsia="黑体" w:cs="黑体"/>
          <w:sz w:val="32"/>
          <w:szCs w:val="32"/>
        </w:rPr>
      </w:pPr>
      <w:bookmarkStart w:id="0" w:name="OLE_LINK1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《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牡丹江市餐饮服务单位“互联网+明厨亮灶”智慧系统应用管理制度（试行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）》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0" w:firstLineChars="0"/>
        <w:jc w:val="center"/>
        <w:textAlignment w:val="auto"/>
        <w:outlineLvl w:val="1"/>
        <w:rPr>
          <w:rFonts w:hint="eastAsia" w:ascii="仿宋" w:hAnsi="仿宋" w:eastAsia="仿宋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第一章  总则</w:t>
      </w:r>
    </w:p>
    <w:p>
      <w:pPr>
        <w:spacing w:after="0" w:line="560" w:lineRule="exact"/>
        <w:ind w:firstLine="644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</w:rPr>
        <w:t xml:space="preserve">第一条 </w:t>
      </w:r>
      <w:r>
        <w:rPr>
          <w:rFonts w:hint="eastAsia" w:ascii="仿宋" w:hAnsi="仿宋" w:eastAsia="仿宋" w:cs="仿宋_GB2312"/>
          <w:sz w:val="32"/>
          <w:szCs w:val="32"/>
        </w:rPr>
        <w:t>为进一步加强餐饮服务领域食品安全管理，规范集中用餐单位和社会餐饮单位“互联网+明厨亮灶”智慧系统巡查应用，保障市民饮食安全，规范入网餐饮服务提供者经营行为，根据《中华人民共和国食品安全法》及其实施条例、《中华人民共和国数据安全法》、《网络餐饮服务食品安全监督管理办法》、《餐饮服务食品安全操作规范》、《中共中央办公厅 国务院办公厅关于进一步强化食品安全全链条监管的意见》、《黑龙江省食品安全条例》、《黑龙江省餐饮服务提供者“明厨亮灶”建设指引》等法律、法规、规章，结合本市实际，制定本制度。</w:t>
      </w:r>
    </w:p>
    <w:p>
      <w:pPr>
        <w:spacing w:after="0" w:line="560" w:lineRule="exact"/>
        <w:ind w:firstLine="642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</w:rPr>
        <w:t xml:space="preserve">第二条 </w:t>
      </w:r>
      <w:r>
        <w:rPr>
          <w:rFonts w:hint="eastAsia" w:ascii="仿宋" w:hAnsi="仿宋" w:eastAsia="仿宋" w:cs="仿宋_GB2312"/>
          <w:sz w:val="32"/>
          <w:szCs w:val="32"/>
        </w:rPr>
        <w:t>本制度适用于牡丹江市行政区域内各级各类应用“互联网+明厨亮灶”智慧系统的餐饮服务单位，包括学校食堂、幼儿园食堂、养老院食堂、医疗机构食堂、集体配餐单位、中央厨房、入网餐饮服务提供者、无堂食外卖餐饮经营者等社会餐饮服务单位。</w:t>
      </w:r>
    </w:p>
    <w:p>
      <w:pPr>
        <w:spacing w:after="0" w:line="560" w:lineRule="exact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　　</w:t>
      </w:r>
      <w:r>
        <w:rPr>
          <w:rFonts w:hint="eastAsia" w:ascii="仿宋" w:hAnsi="仿宋" w:eastAsia="仿宋" w:cs="仿宋_GB2312"/>
          <w:b/>
          <w:bCs/>
          <w:sz w:val="32"/>
          <w:szCs w:val="32"/>
        </w:rPr>
        <w:t xml:space="preserve">第三条 </w:t>
      </w:r>
      <w:r>
        <w:rPr>
          <w:rFonts w:hint="eastAsia" w:ascii="仿宋" w:hAnsi="仿宋" w:eastAsia="仿宋" w:cs="仿宋_GB2312"/>
          <w:sz w:val="32"/>
          <w:szCs w:val="32"/>
        </w:rPr>
        <w:t>“互联网+明厨亮灶”智慧系统是融合视频监控技术、</w:t>
      </w:r>
      <w:r>
        <w:rPr>
          <w:rFonts w:hint="eastAsia" w:ascii="仿宋" w:hAnsi="仿宋" w:eastAsia="仿宋" w:cs="仿宋_GB2312"/>
          <w:color w:val="auto"/>
          <w:sz w:val="32"/>
          <w:szCs w:val="32"/>
          <w:highlight w:val="none"/>
        </w:rPr>
        <w:t>物联网</w:t>
      </w:r>
      <w:r>
        <w:rPr>
          <w:rFonts w:hint="eastAsia" w:ascii="仿宋" w:hAnsi="仿宋" w:eastAsia="仿宋" w:cs="仿宋_GB2312"/>
          <w:sz w:val="32"/>
          <w:szCs w:val="32"/>
        </w:rPr>
        <w:t>技术和GIS（地理信息系统）信息技术，通过互联网视频数据的接入和预览，采集餐饮服务单位食品安全相关信息数据，实现对餐饮服务单位视频AI（人工智能）分析图像整合汇聚和远程巡查监管的平台。明厨亮灶管理平台为每个商户生成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食安码”（</w:t>
      </w:r>
      <w:r>
        <w:rPr>
          <w:rFonts w:hint="eastAsia" w:ascii="仿宋" w:hAnsi="仿宋" w:eastAsia="仿宋" w:cs="仿宋_GB2312"/>
          <w:sz w:val="32"/>
          <w:szCs w:val="32"/>
        </w:rPr>
        <w:t>食品安全信息公示码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），</w:t>
      </w:r>
      <w:r>
        <w:rPr>
          <w:rFonts w:hint="eastAsia" w:ascii="仿宋" w:hAnsi="仿宋" w:eastAsia="仿宋" w:cs="仿宋_GB2312"/>
          <w:sz w:val="32"/>
          <w:szCs w:val="32"/>
        </w:rPr>
        <w:t>通过平台、商户、消费者移动端各个系统的应用，形成监管部门、群众等多方参与共治共管新格局，实施精准监管，及时发现风险，确保食品安全。</w:t>
      </w:r>
    </w:p>
    <w:p>
      <w:pPr>
        <w:spacing w:after="0" w:line="560" w:lineRule="exact"/>
        <w:ind w:firstLine="64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</w:rPr>
        <w:t xml:space="preserve">第四条 </w:t>
      </w:r>
      <w:r>
        <w:rPr>
          <w:rFonts w:hint="eastAsia" w:ascii="仿宋" w:hAnsi="仿宋" w:eastAsia="仿宋" w:cs="仿宋_GB2312"/>
          <w:sz w:val="32"/>
          <w:szCs w:val="32"/>
        </w:rPr>
        <w:t>市市场监管局负责全市“互联网+明厨亮灶”智慧系统管理统筹工作，统一工作机制及数据标准，不断完善“互联网+明厨亮灶”智慧系统功能，建立基于大数据分析的食品安全信息平台；督促指导各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县（市）、区</w:t>
      </w:r>
      <w:r>
        <w:rPr>
          <w:rFonts w:hint="eastAsia" w:ascii="仿宋" w:hAnsi="仿宋" w:eastAsia="仿宋" w:cs="仿宋_GB2312"/>
          <w:sz w:val="32"/>
          <w:szCs w:val="32"/>
        </w:rPr>
        <w:t>市场监管局推进本辖区“互联网+明厨亮灶”建设，提升市场监督管理质量。</w:t>
      </w:r>
    </w:p>
    <w:p>
      <w:pPr>
        <w:spacing w:after="0" w:line="560" w:lineRule="exact"/>
        <w:ind w:firstLine="640"/>
        <w:rPr>
          <w:rFonts w:hint="eastAsia" w:ascii="仿宋" w:hAnsi="仿宋" w:eastAsia="仿宋" w:cs="黑体"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</w:rPr>
        <w:t xml:space="preserve">第五条 </w:t>
      </w:r>
      <w:r>
        <w:rPr>
          <w:rFonts w:hint="eastAsia" w:ascii="仿宋" w:hAnsi="仿宋" w:eastAsia="仿宋" w:cs="仿宋_GB2312"/>
          <w:sz w:val="32"/>
          <w:szCs w:val="32"/>
        </w:rPr>
        <w:t>各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县（市）、区</w:t>
      </w:r>
      <w:r>
        <w:rPr>
          <w:rFonts w:hint="eastAsia" w:ascii="仿宋" w:hAnsi="仿宋" w:eastAsia="仿宋" w:cs="仿宋_GB2312"/>
          <w:sz w:val="32"/>
          <w:szCs w:val="32"/>
        </w:rPr>
        <w:t>市场监管局负责本辖区餐饮服务“互联网+明厨亮灶”智慧系统应用工作，根据《牡丹江市餐饮服务单位“明厨亮灶”建设实施方案》，推动辖区内餐饮服务单位应纳尽纳、应连尽连；推进食品安全</w:t>
      </w:r>
      <w:r>
        <w:rPr>
          <w:rFonts w:hint="eastAsia" w:ascii="仿宋" w:hAnsi="仿宋" w:eastAsia="仿宋" w:cs="仿宋_GB2312"/>
          <w:kern w:val="0"/>
          <w:sz w:val="32"/>
          <w:szCs w:val="32"/>
          <w:lang w:bidi="ar"/>
        </w:rPr>
        <w:t>非现场监管，</w:t>
      </w:r>
      <w:r>
        <w:rPr>
          <w:rFonts w:hint="eastAsia" w:ascii="仿宋" w:hAnsi="仿宋" w:eastAsia="仿宋" w:cs="仿宋_GB2312"/>
          <w:sz w:val="32"/>
          <w:szCs w:val="32"/>
        </w:rPr>
        <w:t>提升食材溯源把关、卫生环境管控、有害生物防治、人员行为纠偏等智慧监管水平，促进餐饮服务操作规范化。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0" w:firstLineChars="0"/>
        <w:jc w:val="center"/>
        <w:textAlignment w:val="auto"/>
        <w:outlineLvl w:val="1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第二章  主体责任</w:t>
      </w:r>
    </w:p>
    <w:p>
      <w:pPr>
        <w:widowControl/>
        <w:spacing w:after="0" w:line="560" w:lineRule="exact"/>
        <w:ind w:firstLine="642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</w:rPr>
        <w:t xml:space="preserve">第六条 </w:t>
      </w:r>
      <w:r>
        <w:rPr>
          <w:rFonts w:hint="eastAsia" w:ascii="仿宋" w:hAnsi="仿宋" w:eastAsia="仿宋" w:cs="仿宋_GB2312"/>
          <w:sz w:val="32"/>
          <w:szCs w:val="32"/>
        </w:rPr>
        <w:t>餐饮服务单位应主动接受市场监管部门非现场监管和社会监督。接入“互联网+明厨亮灶”平台时，应对食品经营许可信息、联系电话、食品安全等级、全部从业人员健康信息通过平台进行在线公示。学校食堂、幼儿园食堂、养老院食堂、医疗机构食堂、集体配餐单位、中央厨房、大型餐饮服务单位要结合落实“日管控、周排查、月调度”工作机制，对食材进货台账、消毒台账、留样台账、菜单信息、食品添加剂相关信息以及食品安全自查情况等进行在线公示。</w:t>
      </w:r>
    </w:p>
    <w:p>
      <w:pPr>
        <w:widowControl/>
        <w:spacing w:after="0" w:line="560" w:lineRule="exact"/>
        <w:ind w:firstLine="642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</w:rPr>
        <w:t xml:space="preserve">第七条 </w:t>
      </w:r>
      <w:r>
        <w:rPr>
          <w:rFonts w:hint="eastAsia" w:ascii="仿宋" w:hAnsi="仿宋" w:eastAsia="仿宋" w:cs="仿宋_GB2312"/>
          <w:sz w:val="32"/>
          <w:szCs w:val="32"/>
        </w:rPr>
        <w:t>餐饮服务单位要全面落实食品安全主体责任，组织相关人员并参加“互联网+明厨亮灶”智慧系统培训，熟练掌握应用系统开展自查、整改、信息公开等工作，接受市场监管部门的监督管理。食品安全员每日开展视频自查，重点检查人员健康情况、食品库房、烹饪区、专间等区域，及时将问题隐患整改到位；食品安全总监每周通过观看视频直播、视频回放、预警信息通知等掌握食品安全状况，建立排查治理情况台账；餐饮服务单位负责人每月登录“互联网+明厨亮灶”智慧系统抽查环境卫生、从业人员加工操作情况、进货查验、问题整改情况等内容，召开月调度会议，分析食品安全隐患，督促整改落实。</w:t>
      </w:r>
    </w:p>
    <w:p>
      <w:pPr>
        <w:spacing w:after="0" w:line="560" w:lineRule="exact"/>
        <w:ind w:firstLine="642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</w:rPr>
        <w:t xml:space="preserve">第八条 </w:t>
      </w:r>
      <w:r>
        <w:rPr>
          <w:rFonts w:hint="eastAsia" w:ascii="仿宋" w:hAnsi="仿宋" w:eastAsia="仿宋" w:cs="仿宋_GB2312"/>
          <w:sz w:val="32"/>
          <w:szCs w:val="32"/>
        </w:rPr>
        <w:t>餐饮服务单位应积极配合加强系统运行环境优化，保障供电、网络等系统运行必要条件，不得随意断电断网、私自调整摄像头拍摄角度、遮挡摄像头，确保视频清晰、应连必连。如设备出现异常，应在2小时内联系设备安装公司说明情况，设备公司应在24小时内完成设备修复；餐饮服务单位如出现歇业、废业、转让等情况，应及时通知属地市场监督管理部门停机、收回摄像头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0" w:firstLineChars="0"/>
        <w:jc w:val="center"/>
        <w:textAlignment w:val="auto"/>
        <w:outlineLvl w:val="1"/>
        <w:rPr>
          <w:rFonts w:hint="eastAsia" w:ascii="仿宋" w:hAnsi="仿宋" w:eastAsia="仿宋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第三章  监管措施</w:t>
      </w:r>
    </w:p>
    <w:p>
      <w:pPr>
        <w:pStyle w:val="14"/>
        <w:shd w:val="clear" w:color="auto" w:fill="FFFFFF"/>
        <w:spacing w:beforeAutospacing="0" w:afterAutospacing="0" w:line="560" w:lineRule="exact"/>
        <w:jc w:val="both"/>
        <w:rPr>
          <w:rFonts w:hint="eastAsia" w:ascii="仿宋" w:hAnsi="仿宋" w:eastAsia="仿宋" w:cs="仿宋_GB2312"/>
          <w:kern w:val="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　　</w:t>
      </w:r>
      <w:r>
        <w:rPr>
          <w:rFonts w:hint="eastAsia" w:ascii="仿宋" w:hAnsi="仿宋" w:eastAsia="仿宋" w:cs="仿宋_GB2312"/>
          <w:b/>
          <w:bCs/>
          <w:kern w:val="2"/>
          <w:sz w:val="32"/>
          <w:szCs w:val="32"/>
        </w:rPr>
        <w:t>第九条</w:t>
      </w:r>
      <w:r>
        <w:rPr>
          <w:rFonts w:hint="eastAsia" w:ascii="仿宋" w:hAnsi="仿宋" w:eastAsia="仿宋" w:cs="仿宋_GB2312"/>
          <w:kern w:val="2"/>
          <w:sz w:val="32"/>
          <w:szCs w:val="32"/>
        </w:rPr>
        <w:t xml:space="preserve"> 各级市场监管部门要落实专人负责“互联网+明厨亮灶”的线上监管工作。市级监管部门要每月至少组织1次对各</w:t>
      </w:r>
      <w:r>
        <w:rPr>
          <w:rFonts w:hint="eastAsia" w:ascii="仿宋" w:hAnsi="仿宋" w:eastAsia="仿宋" w:cs="仿宋_GB2312"/>
          <w:kern w:val="2"/>
          <w:sz w:val="32"/>
          <w:szCs w:val="32"/>
          <w:lang w:eastAsia="zh-CN"/>
        </w:rPr>
        <w:t>县（市）、区</w:t>
      </w:r>
      <w:r>
        <w:rPr>
          <w:rFonts w:hint="eastAsia" w:ascii="仿宋" w:hAnsi="仿宋" w:eastAsia="仿宋" w:cs="仿宋_GB2312"/>
          <w:kern w:val="2"/>
          <w:sz w:val="32"/>
          <w:szCs w:val="32"/>
        </w:rPr>
        <w:t>局线上监管情况进行抽查；县级监管部门要每周至少组织1次对餐饮服务单位“互联网+明厨亮灶”在线情况、卫生状况、信息公示等情况进行线上抽查，对非现场监管执行情况进行监督；基层监管所要每日对辖区内餐饮服务单位进行线上非现场监管，对AI预警问题进行核查,</w:t>
      </w:r>
      <w:r>
        <w:rPr>
          <w:rFonts w:hint="eastAsia" w:ascii="仿宋" w:hAnsi="仿宋" w:eastAsia="仿宋" w:cs="仿宋_GB2312"/>
          <w:sz w:val="32"/>
          <w:szCs w:val="32"/>
        </w:rPr>
        <w:t xml:space="preserve"> 发现故意破坏、擅自调整或遮挡摄像头，逃避“互联网+明厨亮灶”智慧系统监管行为的，加大现场监督检查频次，督促餐饮服务单位落实主体责任。</w:t>
      </w:r>
      <w:r>
        <w:rPr>
          <w:rFonts w:hint="eastAsia" w:ascii="仿宋" w:hAnsi="仿宋" w:eastAsia="仿宋" w:cs="仿宋_GB2312"/>
          <w:kern w:val="2"/>
          <w:sz w:val="32"/>
          <w:szCs w:val="32"/>
        </w:rPr>
        <w:t xml:space="preserve"> </w:t>
      </w:r>
    </w:p>
    <w:p>
      <w:pPr>
        <w:pStyle w:val="14"/>
        <w:shd w:val="clear" w:color="auto" w:fill="FFFFFF"/>
        <w:spacing w:beforeAutospacing="0" w:afterAutospacing="0" w:line="560" w:lineRule="exact"/>
        <w:ind w:firstLine="641"/>
        <w:jc w:val="both"/>
        <w:rPr>
          <w:rFonts w:hint="eastAsia" w:ascii="仿宋" w:hAnsi="仿宋" w:eastAsia="仿宋" w:cs="仿宋_GB2312"/>
          <w:kern w:val="2"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kern w:val="2"/>
          <w:sz w:val="32"/>
          <w:szCs w:val="32"/>
        </w:rPr>
        <w:t>第十条</w:t>
      </w:r>
      <w:r>
        <w:rPr>
          <w:rFonts w:hint="eastAsia" w:ascii="仿宋" w:hAnsi="仿宋" w:eastAsia="仿宋" w:cs="仿宋_GB2312"/>
          <w:kern w:val="2"/>
          <w:sz w:val="32"/>
          <w:szCs w:val="32"/>
        </w:rPr>
        <w:t xml:space="preserve"> 线上非现场监管要与日常监管、专项检查、飞行检查等传统监管方式相结合，将远程监控与现场检查有机衔接，切实发挥平台效能，提高监管效率。通过线上非现场监管发现违法违规行为，判断行为类别及程度，通过平台直接下达“风险警示”，留存视频证据，限期改正；对“风险警示”整改不到位或者发现较严重食品安全隐患时，立即进行现场检查、依法查处，形成“线上巡查</w:t>
      </w:r>
      <w:r>
        <w:rPr>
          <w:rFonts w:ascii="仿宋" w:hAnsi="仿宋" w:eastAsia="仿宋" w:cs="仿宋_GB2312"/>
          <w:kern w:val="2"/>
          <w:sz w:val="32"/>
          <w:szCs w:val="32"/>
        </w:rPr>
        <w:t>+</w:t>
      </w:r>
      <w:r>
        <w:rPr>
          <w:rFonts w:hint="eastAsia" w:ascii="仿宋" w:hAnsi="仿宋" w:eastAsia="仿宋" w:cs="仿宋_GB2312"/>
          <w:kern w:val="2"/>
          <w:sz w:val="32"/>
          <w:szCs w:val="32"/>
        </w:rPr>
        <w:t>现场整改</w:t>
      </w:r>
      <w:r>
        <w:rPr>
          <w:rFonts w:ascii="仿宋" w:hAnsi="仿宋" w:eastAsia="仿宋" w:cs="仿宋_GB2312"/>
          <w:kern w:val="2"/>
          <w:sz w:val="32"/>
          <w:szCs w:val="32"/>
        </w:rPr>
        <w:t>+</w:t>
      </w:r>
      <w:r>
        <w:rPr>
          <w:rFonts w:hint="eastAsia" w:ascii="仿宋" w:hAnsi="仿宋" w:eastAsia="仿宋" w:cs="仿宋_GB2312"/>
          <w:kern w:val="2"/>
          <w:sz w:val="32"/>
          <w:szCs w:val="32"/>
        </w:rPr>
        <w:t>效果回传”的智能化闭环监管模式，实现由“传统监管”向“智慧监管”的迭代转型升级；视频证据资料保存期限不得少于30日，视频监控数据应加密传输，未经授权不得向第三方提供。</w:t>
      </w:r>
    </w:p>
    <w:p>
      <w:pPr>
        <w:pStyle w:val="14"/>
        <w:shd w:val="clear" w:color="auto" w:fill="FFFFFF"/>
        <w:spacing w:beforeAutospacing="0" w:afterAutospacing="0" w:line="560" w:lineRule="exact"/>
        <w:ind w:firstLine="640"/>
        <w:jc w:val="both"/>
        <w:rPr>
          <w:rFonts w:hint="eastAsia" w:ascii="仿宋" w:hAnsi="仿宋" w:eastAsia="仿宋" w:cs="仿宋_GB2312"/>
          <w:kern w:val="2"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kern w:val="2"/>
          <w:sz w:val="32"/>
          <w:szCs w:val="32"/>
        </w:rPr>
        <w:t xml:space="preserve">第十一条 </w:t>
      </w:r>
      <w:r>
        <w:rPr>
          <w:rFonts w:hint="eastAsia" w:ascii="仿宋" w:hAnsi="仿宋" w:eastAsia="仿宋" w:cs="仿宋_GB2312"/>
          <w:kern w:val="2"/>
          <w:sz w:val="32"/>
          <w:szCs w:val="32"/>
        </w:rPr>
        <w:t>线上非现场监管重点区域及操作环节包括但不限于以下内容：</w:t>
      </w:r>
    </w:p>
    <w:p>
      <w:pPr>
        <w:widowControl/>
        <w:shd w:val="clear" w:color="auto" w:fill="FFFFFF"/>
        <w:spacing w:after="0" w:line="56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（一）原材料库房。查看该区域的卫生状况和工作情景，食材是否上架分类存放；员工工作期间是否有吸烟、未穿工作服等不良行为；是否有老鼠等有害生物进入食品库房。</w:t>
      </w:r>
    </w:p>
    <w:p>
      <w:pPr>
        <w:widowControl/>
        <w:shd w:val="clear" w:color="auto" w:fill="FFFFFF"/>
        <w:spacing w:after="0" w:line="56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二）粗加工制作区。查看该区域的卫生状况和工作情景,食材洗涤水池的标识分类，岗位人员是否按照水池标识的用途分类使用；员工工作期间是否有吸烟、未穿工作服等不良行为；食材是否上架分类存放等情况。</w:t>
      </w:r>
    </w:p>
    <w:p>
      <w:pPr>
        <w:widowControl/>
        <w:shd w:val="clear" w:color="auto" w:fill="FFFFFF"/>
        <w:spacing w:after="0" w:line="56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三）烹饪区。查看该区域的卫生状况和工作情景，地面、工作台面和设备设施是否干净卫生；员工工作期间是否有吸烟、未穿工作服、不戴口罩等不良行为；直接入口食品、半成品、食材是否分开存放，生熟容器是否有明显的标示并分开存放，食品或盛装食品的容器是否直接置于地上，垃圾桶是否加盖。</w:t>
      </w:r>
    </w:p>
    <w:p>
      <w:pPr>
        <w:widowControl/>
        <w:shd w:val="clear" w:color="auto" w:fill="FFFFFF"/>
        <w:spacing w:after="0" w:line="56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四）专间、备餐间。查看专间区域人员进出情况与工作情景；预进间的门是否自动闭合，人员进入专间工作时是否洗手、更衣、佩戴工作帽与口罩，是否进行测温等晨检工作；紫外线灯与空调等设施是否正常运转，操作台、砧板、工用具是否干净卫生；剩余的直接入口食材是否存放于专用冰箱中冷藏或冷冻；员工工作期间是否有吸烟等不良行为，是否存在未在备餐间内进行备餐操作的情形，是否在专间从事与之无关的活动；专间内是否存放非直接入口食品或其他杂物，垃圾桶是否加盖等情况。</w:t>
      </w:r>
    </w:p>
    <w:p>
      <w:pPr>
        <w:widowControl/>
        <w:shd w:val="clear" w:color="auto" w:fill="FFFFFF"/>
        <w:spacing w:after="0" w:line="56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（五）餐饮具洗消区。查看该区域的工作场景，包括餐饮具回收、清洗、消毒、保洁全过程，热力消毒设备的工作状态，化学消毒液的配备与更换，餐饮具的保洁、存放，是否及时清运等情况。</w:t>
      </w:r>
    </w:p>
    <w:p>
      <w:pPr>
        <w:widowControl/>
        <w:shd w:val="clear" w:color="auto" w:fill="FFFFFF"/>
        <w:spacing w:after="0" w:line="56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六）面点间。查看该区域的卫生状况和工作情景，地面、工作台面和设备设施是否干净卫生；员工是否穿戴干净的工作服帽，佩戴口罩，员工工作期间是否有吸烟等不良行为，垃圾桶是否加盖；食品添加剂存放、使用管理等是否符合要求等情况。</w:t>
      </w:r>
    </w:p>
    <w:p>
      <w:pPr>
        <w:widowControl/>
        <w:shd w:val="clear" w:color="auto" w:fill="FFFFFF"/>
        <w:spacing w:after="0" w:line="56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（七）留样间。食堂及100人以上集体聚餐活动供应的食品成品应留样，留样食品应按品种分别盛放于清洗消毒后的密闭专用容器内，在冷藏条件下存放48小时以上，每个品种留样量不少于125克；留样柜是否上锁。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0" w:firstLineChars="0"/>
        <w:jc w:val="center"/>
        <w:textAlignment w:val="auto"/>
        <w:outlineLvl w:val="1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第四章  社会共治</w:t>
      </w:r>
    </w:p>
    <w:p>
      <w:pPr>
        <w:widowControl/>
        <w:spacing w:after="0" w:line="560" w:lineRule="exact"/>
        <w:ind w:firstLine="642" w:firstLineChars="200"/>
        <w:outlineLvl w:val="1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</w:rPr>
        <w:t xml:space="preserve">第十二条 </w:t>
      </w:r>
      <w:r>
        <w:rPr>
          <w:rFonts w:hint="eastAsia" w:ascii="仿宋" w:hAnsi="仿宋" w:eastAsia="仿宋" w:cs="仿宋_GB2312"/>
          <w:sz w:val="32"/>
          <w:szCs w:val="32"/>
        </w:rPr>
        <w:t>充分发挥“主体自律、群众参与、政府监管”的食品安全社会共治作用。餐饮服务单位应在店铺显著位置，如门厅玻璃、餐桌、吧台等处</w:t>
      </w:r>
      <w:r>
        <w:rPr>
          <w:rFonts w:hint="eastAsia" w:ascii="仿宋" w:hAnsi="仿宋" w:eastAsia="仿宋" w:cs="仿宋_GB2312"/>
          <w:color w:val="auto"/>
          <w:sz w:val="32"/>
          <w:szCs w:val="32"/>
          <w:highlight w:val="none"/>
          <w:lang w:val="en-US" w:eastAsia="zh-CN"/>
        </w:rPr>
        <w:t>张贴</w:t>
      </w:r>
      <w:r>
        <w:rPr>
          <w:rFonts w:hint="eastAsia" w:ascii="仿宋" w:hAnsi="仿宋" w:eastAsia="仿宋" w:cs="仿宋_GB2312"/>
          <w:color w:val="auto"/>
          <w:sz w:val="32"/>
          <w:szCs w:val="32"/>
          <w:highlight w:val="none"/>
        </w:rPr>
        <w:t>“食安码”，</w:t>
      </w:r>
      <w:r>
        <w:rPr>
          <w:rFonts w:hint="eastAsia" w:ascii="仿宋" w:hAnsi="仿宋" w:eastAsia="仿宋" w:cs="仿宋_GB2312"/>
          <w:sz w:val="32"/>
          <w:szCs w:val="32"/>
        </w:rPr>
        <w:t>供消费者扫码后实时观看餐食制作情况和查看相关食品安全信息；</w:t>
      </w:r>
      <w:r>
        <w:rPr>
          <w:rFonts w:ascii="仿宋" w:hAnsi="仿宋" w:eastAsia="仿宋" w:cs="仿宋_GB2312"/>
          <w:sz w:val="32"/>
          <w:szCs w:val="32"/>
        </w:rPr>
        <w:t>鼓励消费者举报摄像头异常情况，建立快速响应通道</w:t>
      </w:r>
      <w:r>
        <w:rPr>
          <w:rFonts w:hint="eastAsia" w:ascii="仿宋" w:hAnsi="仿宋" w:eastAsia="仿宋" w:cs="仿宋_GB2312"/>
          <w:sz w:val="32"/>
          <w:szCs w:val="32"/>
        </w:rPr>
        <w:t>。严禁截取、传播涉及员工个人隐私的画面，违者依法追责。</w:t>
      </w:r>
    </w:p>
    <w:p>
      <w:pPr>
        <w:numPr>
          <w:ilvl w:val="0"/>
          <w:numId w:val="1"/>
        </w:numPr>
        <w:spacing w:after="0" w:line="56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推动</w:t>
      </w:r>
      <w:r>
        <w:rPr>
          <w:rFonts w:hint="eastAsia" w:ascii="仿宋" w:hAnsi="仿宋" w:eastAsia="仿宋" w:cs="仿宋_GB2312"/>
          <w:kern w:val="0"/>
          <w:sz w:val="32"/>
          <w:szCs w:val="32"/>
          <w:lang w:bidi="ar"/>
        </w:rPr>
        <w:t>网络餐饮服务第三方平台和入</w:t>
      </w:r>
      <w:r>
        <w:rPr>
          <w:rFonts w:hint="eastAsia" w:ascii="仿宋" w:hAnsi="仿宋" w:eastAsia="仿宋" w:cs="仿宋_GB2312"/>
          <w:sz w:val="32"/>
          <w:szCs w:val="32"/>
        </w:rPr>
        <w:t>网餐饮服务提供者实行</w:t>
      </w:r>
      <w:r>
        <w:rPr>
          <w:rFonts w:hint="eastAsia" w:ascii="仿宋" w:hAnsi="仿宋" w:eastAsia="仿宋" w:cs="仿宋_GB2312"/>
          <w:kern w:val="0"/>
          <w:sz w:val="32"/>
          <w:szCs w:val="32"/>
          <w:lang w:bidi="ar"/>
        </w:rPr>
        <w:t>“互联网+明厨亮灶”；要求第三方平台全面开通网络“透明厨房”，与“互联网+明厨亮灶”视频直连；</w:t>
      </w:r>
      <w:r>
        <w:rPr>
          <w:rFonts w:hint="eastAsia" w:ascii="仿宋" w:hAnsi="仿宋" w:eastAsia="仿宋" w:cs="仿宋_GB2312"/>
          <w:sz w:val="32"/>
          <w:szCs w:val="32"/>
        </w:rPr>
        <w:t>强化无堂食外卖监管和社会监督。</w:t>
      </w:r>
      <w:r>
        <w:rPr>
          <w:rFonts w:hint="eastAsia" w:ascii="仿宋" w:hAnsi="仿宋" w:eastAsia="仿宋" w:cs="仿宋_GB2312"/>
          <w:kern w:val="0"/>
          <w:sz w:val="32"/>
          <w:szCs w:val="32"/>
          <w:lang w:bidi="ar"/>
        </w:rPr>
        <w:t>第三方平台</w:t>
      </w:r>
      <w:r>
        <w:rPr>
          <w:rFonts w:hint="eastAsia" w:ascii="仿宋" w:hAnsi="仿宋" w:eastAsia="仿宋" w:cs="仿宋_GB2312"/>
          <w:sz w:val="32"/>
          <w:szCs w:val="32"/>
        </w:rPr>
        <w:t>对主动开通“透明厨房”视频实时直播的餐饮服务提供者，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可以</w:t>
      </w:r>
      <w:r>
        <w:rPr>
          <w:rFonts w:hint="eastAsia" w:ascii="仿宋" w:hAnsi="仿宋" w:eastAsia="仿宋" w:cs="仿宋_GB2312"/>
          <w:sz w:val="32"/>
          <w:szCs w:val="32"/>
        </w:rPr>
        <w:t>给予曝光度增加、配送补贴、通用券补贴等流量扶持，鼓励入网餐饮服务提供者开通视频直播栏目。</w:t>
      </w:r>
      <w:r>
        <w:rPr>
          <w:rFonts w:hint="eastAsia" w:ascii="仿宋" w:hAnsi="仿宋" w:eastAsia="仿宋" w:cs="仿宋_GB2312"/>
          <w:kern w:val="0"/>
          <w:sz w:val="32"/>
          <w:szCs w:val="32"/>
          <w:lang w:bidi="ar"/>
        </w:rPr>
        <w:t>第三方平台通过“透明厨房”对入</w:t>
      </w:r>
      <w:r>
        <w:rPr>
          <w:rFonts w:hint="eastAsia" w:ascii="仿宋" w:hAnsi="仿宋" w:eastAsia="仿宋" w:cs="仿宋_GB2312"/>
          <w:sz w:val="32"/>
          <w:szCs w:val="32"/>
        </w:rPr>
        <w:t>网餐饮服务提供者的经营行为进行抽查和监督，发现违法行为及时制止并报告所在地县级市场监督管理部门；发现严重违法行为的，应当立即停止供应网络交易平台服务。</w:t>
      </w:r>
    </w:p>
    <w:p>
      <w:pPr>
        <w:numPr>
          <w:ilvl w:val="0"/>
          <w:numId w:val="1"/>
        </w:numPr>
        <w:spacing w:after="0" w:line="56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充分利用报刊、电视及网络等多种渠道，宣传“互联网+明厨亮灶”监管工作成效，调动消费者、第三方机构、新闻媒体、人大代表、政协委员等社会各界的社会监督作用；探索建立“红黑榜”公示规则，通过媒体公示倒逼餐饮服务经营者主动接受群众监督，助力餐饮服务监管提升。</w:t>
      </w:r>
    </w:p>
    <w:p>
      <w:pPr>
        <w:spacing w:after="0" w:line="560" w:lineRule="exact"/>
        <w:rPr>
          <w:rFonts w:hint="eastAsia" w:ascii="仿宋" w:hAnsi="仿宋" w:eastAsia="仿宋" w:cs="黑体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　　</w:t>
      </w:r>
      <w:r>
        <w:rPr>
          <w:rFonts w:hint="eastAsia" w:ascii="仿宋" w:hAnsi="仿宋" w:eastAsia="仿宋" w:cs="仿宋_GB2312"/>
          <w:b/>
          <w:bCs/>
          <w:sz w:val="32"/>
          <w:szCs w:val="32"/>
        </w:rPr>
        <w:t xml:space="preserve">第十五条 </w:t>
      </w:r>
      <w:r>
        <w:rPr>
          <w:rFonts w:hint="eastAsia" w:ascii="仿宋" w:hAnsi="仿宋" w:eastAsia="仿宋" w:cs="仿宋_GB2312"/>
          <w:sz w:val="32"/>
          <w:szCs w:val="32"/>
        </w:rPr>
        <w:t>积极与教育、卫健、民政、商务、文旅等部门紧密配合, 加强工作信息通报和信息共享，形成监管合力。坚持问题导向，通过“互联网+明厨亮灶”平台发现的食品安全问题要迅速处置，通报行业主管部门监督整改，消除食品安全风险隐患，严防发生重大食品安全事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0" w:firstLineChars="0"/>
        <w:jc w:val="center"/>
        <w:textAlignment w:val="auto"/>
        <w:outlineLvl w:val="1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第五章  附则</w:t>
      </w:r>
    </w:p>
    <w:p>
      <w:pPr>
        <w:spacing w:after="0" w:line="560" w:lineRule="exact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　　</w:t>
      </w:r>
      <w:r>
        <w:rPr>
          <w:rFonts w:hint="eastAsia" w:ascii="仿宋" w:hAnsi="仿宋" w:eastAsia="仿宋" w:cs="仿宋_GB2312"/>
          <w:b/>
          <w:bCs/>
          <w:sz w:val="32"/>
          <w:szCs w:val="32"/>
        </w:rPr>
        <w:t xml:space="preserve">第十六条 </w:t>
      </w:r>
      <w:r>
        <w:rPr>
          <w:rFonts w:hint="eastAsia" w:ascii="仿宋" w:hAnsi="仿宋" w:eastAsia="仿宋" w:cs="仿宋_GB2312"/>
          <w:sz w:val="32"/>
          <w:szCs w:val="32"/>
        </w:rPr>
        <w:t>本制度由牡丹江市市场监督管理局负责解释。</w:t>
      </w:r>
    </w:p>
    <w:p>
      <w:pPr>
        <w:spacing w:after="0" w:line="560" w:lineRule="exact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　　</w:t>
      </w:r>
      <w:r>
        <w:rPr>
          <w:rFonts w:hint="eastAsia" w:ascii="仿宋" w:hAnsi="仿宋" w:eastAsia="仿宋" w:cs="仿宋_GB2312"/>
          <w:b/>
          <w:bCs/>
          <w:sz w:val="32"/>
          <w:szCs w:val="32"/>
        </w:rPr>
        <w:t xml:space="preserve">第十七条 </w:t>
      </w:r>
      <w:r>
        <w:rPr>
          <w:rFonts w:hint="eastAsia" w:ascii="仿宋" w:hAnsi="仿宋" w:eastAsia="仿宋" w:cs="仿宋_GB2312"/>
          <w:sz w:val="32"/>
          <w:szCs w:val="32"/>
        </w:rPr>
        <w:t>本制度自2025年</w:t>
      </w:r>
      <w:r>
        <w:rPr>
          <w:rFonts w:hint="default" w:ascii="仿宋" w:hAnsi="仿宋" w:eastAsia="仿宋" w:cs="仿宋_GB2312"/>
          <w:sz w:val="32"/>
          <w:szCs w:val="32"/>
        </w:rPr>
        <w:t>6</w:t>
      </w:r>
      <w:r>
        <w:rPr>
          <w:rFonts w:hint="eastAsia" w:ascii="仿宋" w:hAnsi="仿宋" w:eastAsia="仿宋" w:cs="仿宋_GB2312"/>
          <w:sz w:val="32"/>
          <w:szCs w:val="32"/>
        </w:rPr>
        <w:t>月</w:t>
      </w:r>
      <w:r>
        <w:rPr>
          <w:rFonts w:hint="default" w:ascii="仿宋" w:hAnsi="仿宋" w:eastAsia="仿宋" w:cs="仿宋_GB2312"/>
          <w:sz w:val="32"/>
          <w:szCs w:val="32"/>
        </w:rPr>
        <w:t>16</w:t>
      </w:r>
      <w:bookmarkStart w:id="1" w:name="_GoBack"/>
      <w:bookmarkEnd w:id="1"/>
      <w:r>
        <w:rPr>
          <w:rFonts w:hint="eastAsia" w:ascii="仿宋" w:hAnsi="仿宋" w:eastAsia="仿宋" w:cs="仿宋_GB2312"/>
          <w:sz w:val="32"/>
          <w:szCs w:val="32"/>
        </w:rPr>
        <w:t>日起试行，有效期2年。</w:t>
      </w:r>
      <w:bookmarkEnd w:id="0"/>
    </w:p>
    <w:p>
      <w:pPr>
        <w:numPr>
          <w:ilvl w:val="0"/>
          <w:numId w:val="0"/>
        </w:numPr>
        <w:spacing w:after="0" w:line="560" w:lineRule="exact"/>
        <w:ind w:firstLine="640"/>
        <w:jc w:val="both"/>
        <w:rPr>
          <w:rFonts w:hint="default" w:ascii="仿宋" w:hAnsi="仿宋" w:eastAsia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 Light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56F3BF"/>
    <w:multiLevelType w:val="singleLevel"/>
    <w:tmpl w:val="6256F3BF"/>
    <w:lvl w:ilvl="0" w:tentative="0">
      <w:start w:val="13"/>
      <w:numFmt w:val="chineseCounting"/>
      <w:suff w:val="space"/>
      <w:lvlText w:val="第%1条"/>
      <w:lvlJc w:val="left"/>
      <w:rPr>
        <w:rFonts w:hint="eastAsia"/>
        <w:b/>
        <w:bCs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6A0A"/>
    <w:rsid w:val="000D4FB6"/>
    <w:rsid w:val="00201E0F"/>
    <w:rsid w:val="00583E2A"/>
    <w:rsid w:val="007D5ECF"/>
    <w:rsid w:val="00961461"/>
    <w:rsid w:val="00A36A0A"/>
    <w:rsid w:val="00AD7CDD"/>
    <w:rsid w:val="00E45F56"/>
    <w:rsid w:val="00F01EBD"/>
    <w:rsid w:val="011F1764"/>
    <w:rsid w:val="05D32459"/>
    <w:rsid w:val="2BFA3C80"/>
    <w:rsid w:val="374B4BD9"/>
    <w:rsid w:val="37E81B7A"/>
    <w:rsid w:val="3FA51AEF"/>
    <w:rsid w:val="597A28FD"/>
    <w:rsid w:val="615475B2"/>
    <w:rsid w:val="6A760408"/>
    <w:rsid w:val="70DB7F63"/>
    <w:rsid w:val="BBFF8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23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4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5"/>
    <w:semiHidden/>
    <w:unhideWhenUsed/>
    <w:qFormat/>
    <w:uiPriority w:val="9"/>
    <w:pPr>
      <w:keepNext/>
      <w:keepLines/>
      <w:spacing w:after="0"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6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7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12">
    <w:name w:val="header"/>
    <w:basedOn w:val="1"/>
    <w:link w:val="36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8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Normal (Web)"/>
    <w:basedOn w:val="1"/>
    <w:qFormat/>
    <w:uiPriority w:val="0"/>
    <w:pPr>
      <w:spacing w:before="100" w:beforeAutospacing="1" w:after="100" w:afterAutospacing="1" w:line="240" w:lineRule="auto"/>
    </w:pPr>
    <w:rPr>
      <w:rFonts w:ascii="Calibri" w:hAnsi="Calibri" w:eastAsia="宋体" w:cs="Times New Roman"/>
      <w:kern w:val="0"/>
      <w:sz w:val="24"/>
      <w14:ligatures w14:val="none"/>
    </w:rPr>
  </w:style>
  <w:style w:type="paragraph" w:styleId="15">
    <w:name w:val="Title"/>
    <w:basedOn w:val="1"/>
    <w:next w:val="1"/>
    <w:link w:val="27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8">
    <w:name w:val="标题 1 字符"/>
    <w:basedOn w:val="17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9">
    <w:name w:val="标题 2 字符"/>
    <w:basedOn w:val="17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0">
    <w:name w:val="标题 3 字符"/>
    <w:basedOn w:val="17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1">
    <w:name w:val="标题 4 字符"/>
    <w:basedOn w:val="17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2">
    <w:name w:val="标题 5 字符"/>
    <w:basedOn w:val="17"/>
    <w:link w:val="6"/>
    <w:semiHidden/>
    <w:qFormat/>
    <w:uiPriority w:val="9"/>
    <w:rPr>
      <w:rFonts w:cstheme="majorBidi"/>
      <w:color w:val="104862" w:themeColor="accent1" w:themeShade="BF"/>
      <w:sz w:val="24"/>
    </w:rPr>
  </w:style>
  <w:style w:type="character" w:customStyle="1" w:styleId="23">
    <w:name w:val="标题 6 字符"/>
    <w:basedOn w:val="17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4">
    <w:name w:val="标题 7 字符"/>
    <w:basedOn w:val="17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8 字符"/>
    <w:basedOn w:val="17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9 字符"/>
    <w:basedOn w:val="17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字符"/>
    <w:basedOn w:val="17"/>
    <w:link w:val="15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8">
    <w:name w:val="副标题 字符"/>
    <w:basedOn w:val="17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9">
    <w:name w:val="Quote"/>
    <w:basedOn w:val="1"/>
    <w:next w:val="1"/>
    <w:link w:val="30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0">
    <w:name w:val="引用 字符"/>
    <w:basedOn w:val="17"/>
    <w:link w:val="29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1">
    <w:name w:val="List Paragraph"/>
    <w:basedOn w:val="1"/>
    <w:qFormat/>
    <w:uiPriority w:val="34"/>
    <w:pPr>
      <w:ind w:left="720"/>
      <w:contextualSpacing/>
    </w:pPr>
  </w:style>
  <w:style w:type="character" w:customStyle="1" w:styleId="32">
    <w:name w:val="Intense Emphasis"/>
    <w:basedOn w:val="17"/>
    <w:qFormat/>
    <w:uiPriority w:val="21"/>
    <w:rPr>
      <w:i/>
      <w:iCs/>
      <w:color w:val="104862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4">
    <w:name w:val="明显引用 字符"/>
    <w:basedOn w:val="17"/>
    <w:link w:val="33"/>
    <w:qFormat/>
    <w:uiPriority w:val="30"/>
    <w:rPr>
      <w:i/>
      <w:iCs/>
      <w:color w:val="104862" w:themeColor="accent1" w:themeShade="BF"/>
    </w:rPr>
  </w:style>
  <w:style w:type="character" w:customStyle="1" w:styleId="35">
    <w:name w:val="Intense Reference"/>
    <w:basedOn w:val="17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6">
    <w:name w:val="页眉 字符"/>
    <w:basedOn w:val="17"/>
    <w:link w:val="12"/>
    <w:qFormat/>
    <w:uiPriority w:val="99"/>
    <w:rPr>
      <w:sz w:val="18"/>
      <w:szCs w:val="18"/>
    </w:rPr>
  </w:style>
  <w:style w:type="character" w:customStyle="1" w:styleId="37">
    <w:name w:val="页脚 字符"/>
    <w:basedOn w:val="17"/>
    <w:link w:val="11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3628</Words>
  <Characters>3643</Characters>
  <Lines>4</Lines>
  <Paragraphs>1</Paragraphs>
  <TotalTime>15</TotalTime>
  <ScaleCrop>false</ScaleCrop>
  <LinksUpToDate>false</LinksUpToDate>
  <CharactersWithSpaces>3684</CharactersWithSpaces>
  <Application>WPS Office_11.8.2.9339_F1E327BC-269C-435d-A152-05C5408002CA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2025-03-19T09:29:00Z</dcterms:created>
  <dc:creator>祥伟 孔</dc:creator>
  <cp:lastModifiedBy>greatwall</cp:lastModifiedBy>
  <cp:lastPrinted>2025-05-16T13:47:00Z</cp:lastPrinted>
  <dcterms:modified xsi:type="dcterms:W3CDTF">2025-06-17T16:55:44Z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eyJoZGlkIjoiODEyODM3ZGI5MWFkN2JkZjk3NzgwNzZiMTM0ZDEzYzciLCJ1c2VySWQiOiIxNjY1NTk5MzYyIn0=</vt:lpwstr>
  </property>
  <property fmtid="{D5CDD505-2E9C-101B-9397-08002B2CF9AE}" pid="3" name="KSOProductBuildVer">
    <vt:lpwstr>2052-11.8.2.9339</vt:lpwstr>
  </property>
  <property fmtid="{D5CDD505-2E9C-101B-9397-08002B2CF9AE}" pid="4" name="ICV">
    <vt:lpwstr>58B973205C6846BDAB0DC9EA86E91787_13</vt:lpwstr>
  </property>
</Properties>
</file>