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jc w:val="center"/>
        <w:textAlignment w:val="auto"/>
        <w:rPr>
          <w:rFonts w:hint="eastAsia" w:ascii="仿宋_GB2312" w:hAnsi="仿宋_GB2312" w:eastAsia="仿宋_GB2312" w:cs="仿宋_GB2312"/>
          <w:sz w:val="32"/>
          <w:szCs w:val="32"/>
        </w:rPr>
      </w:pPr>
    </w:p>
    <w:p>
      <w:pPr>
        <w:pStyle w:val="2"/>
        <w:numPr>
          <w:ilvl w:val="1"/>
          <w:numId w:val="0"/>
        </w:numPr>
        <w:ind w:leftChars="0"/>
        <w:rPr>
          <w:rFonts w:hint="eastAsia" w:ascii="仿宋_GB2312" w:hAnsi="仿宋_GB2312" w:eastAsia="仿宋_GB2312" w:cs="仿宋_GB2312"/>
          <w:sz w:val="32"/>
          <w:szCs w:val="32"/>
        </w:rPr>
      </w:pPr>
    </w:p>
    <w:p>
      <w:pPr>
        <w:rPr>
          <w:rFonts w:hint="eastAsia"/>
        </w:rPr>
      </w:pP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jc w:val="center"/>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jc w:val="center"/>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left="0" w:left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牡政办规〔2024〕</w:t>
      </w:r>
      <w:r>
        <w:rPr>
          <w:rFonts w:hint="default" w:ascii="仿宋_GB2312" w:hAnsi="仿宋_GB2312" w:eastAsia="仿宋_GB2312" w:cs="仿宋_GB2312"/>
          <w:sz w:val="32"/>
          <w:szCs w:val="32"/>
        </w:rPr>
        <w:t>2</w:t>
      </w:r>
      <w:r>
        <w:rPr>
          <w:rFonts w:hint="eastAsia" w:ascii="仿宋_GB2312" w:hAnsi="仿宋_GB2312" w:eastAsia="仿宋_GB2312" w:cs="仿宋_GB2312"/>
          <w:sz w:val="32"/>
          <w:szCs w:val="32"/>
        </w:rPr>
        <w:t>号</w:t>
      </w:r>
    </w:p>
    <w:p>
      <w:pPr>
        <w:pStyle w:val="2"/>
        <w:pageBreakBefore w:val="0"/>
        <w:widowControl w:val="0"/>
        <w:numPr>
          <w:ilvl w:val="0"/>
          <w:numId w:val="0"/>
        </w:numPr>
        <w:kinsoku/>
        <w:wordWrap/>
        <w:overflowPunct/>
        <w:topLinePunct w:val="0"/>
        <w:autoSpaceDE/>
        <w:autoSpaceDN/>
        <w:bidi w:val="0"/>
        <w:adjustRightInd/>
        <w:snapToGrid/>
        <w:spacing w:before="0" w:after="0" w:line="600" w:lineRule="exact"/>
        <w:ind w:leftChars="0"/>
        <w:textAlignment w:val="auto"/>
        <w:rPr>
          <w:rFonts w:hint="eastAsia" w:ascii="仿宋_GB2312" w:hAnsi="仿宋_GB2312" w:eastAsia="仿宋_GB2312" w:cs="仿宋_GB2312"/>
        </w:rPr>
      </w:pPr>
    </w:p>
    <w:p>
      <w:pPr>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sz w:val="44"/>
          <w:szCs w:val="44"/>
          <w:lang w:eastAsia="zh-CN"/>
        </w:rPr>
      </w:pPr>
      <w:r>
        <w:rPr>
          <w:rFonts w:hint="eastAsia" w:ascii="方正小标宋简体" w:hAnsi="方正小标宋简体" w:eastAsia="方正小标宋简体" w:cs="方正小标宋简体"/>
          <w:b w:val="0"/>
          <w:bCs w:val="0"/>
          <w:sz w:val="44"/>
          <w:szCs w:val="44"/>
          <w:lang w:val="en-US" w:eastAsia="zh-CN"/>
        </w:rPr>
        <w:t>牡丹江市人民政府</w:t>
      </w:r>
      <w:r>
        <w:rPr>
          <w:rFonts w:hint="eastAsia" w:ascii="方正小标宋简体" w:hAnsi="方正小标宋简体" w:eastAsia="方正小标宋简体" w:cs="方正小标宋简体"/>
          <w:b w:val="0"/>
          <w:bCs w:val="0"/>
          <w:sz w:val="44"/>
          <w:szCs w:val="44"/>
          <w:lang w:eastAsia="zh-CN"/>
        </w:rPr>
        <w:t>办公室</w:t>
      </w:r>
    </w:p>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rPr>
        <w:t>关于</w:t>
      </w:r>
      <w:r>
        <w:rPr>
          <w:rFonts w:hint="eastAsia" w:ascii="方正小标宋简体" w:hAnsi="方正小标宋简体" w:eastAsia="方正小标宋简体" w:cs="方正小标宋简体"/>
          <w:b w:val="0"/>
          <w:bCs w:val="0"/>
          <w:sz w:val="44"/>
          <w:szCs w:val="44"/>
          <w:lang w:val="en-US" w:eastAsia="zh-CN"/>
        </w:rPr>
        <w:t>印发</w:t>
      </w:r>
      <w:r>
        <w:rPr>
          <w:rFonts w:hint="eastAsia" w:ascii="方正小标宋简体" w:hAnsi="方正小标宋简体" w:eastAsia="方正小标宋简体" w:cs="方正小标宋简体"/>
          <w:b w:val="0"/>
          <w:bCs w:val="0"/>
          <w:sz w:val="44"/>
          <w:szCs w:val="44"/>
          <w:lang w:eastAsia="zh-CN"/>
        </w:rPr>
        <w:t>牡丹江</w:t>
      </w:r>
      <w:r>
        <w:rPr>
          <w:rFonts w:hint="eastAsia" w:ascii="方正小标宋简体" w:hAnsi="方正小标宋简体" w:eastAsia="方正小标宋简体" w:cs="方正小标宋简体"/>
          <w:b w:val="0"/>
          <w:bCs w:val="0"/>
          <w:sz w:val="44"/>
          <w:szCs w:val="44"/>
        </w:rPr>
        <w:t>市公共资源交易信用评价管理办法</w:t>
      </w:r>
      <w:r>
        <w:rPr>
          <w:rFonts w:hint="eastAsia" w:ascii="方正小标宋简体" w:hAnsi="方正小标宋简体" w:eastAsia="方正小标宋简体" w:cs="方正小标宋简体"/>
          <w:b w:val="0"/>
          <w:bCs w:val="0"/>
          <w:sz w:val="44"/>
          <w:szCs w:val="44"/>
          <w:lang w:eastAsia="zh-CN"/>
        </w:rPr>
        <w:t>（试行）</w:t>
      </w:r>
      <w:r>
        <w:rPr>
          <w:rFonts w:hint="eastAsia" w:ascii="方正小标宋简体" w:hAnsi="方正小标宋简体" w:eastAsia="方正小标宋简体" w:cs="方正小标宋简体"/>
          <w:b w:val="0"/>
          <w:bCs w:val="0"/>
          <w:sz w:val="44"/>
          <w:szCs w:val="44"/>
          <w:lang w:val="en-US" w:eastAsia="zh-CN"/>
        </w:rPr>
        <w:t>的通知</w:t>
      </w:r>
    </w:p>
    <w:p>
      <w:pPr>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both"/>
        <w:textAlignment w:val="auto"/>
        <w:rPr>
          <w:rFonts w:hint="eastAsia" w:ascii="楷体" w:hAnsi="楷体" w:eastAsia="楷体" w:cs="楷体"/>
          <w:kern w:val="2"/>
          <w:sz w:val="32"/>
          <w:szCs w:val="32"/>
          <w:lang w:val="en-US" w:eastAsia="zh-CN" w:bidi="ar-SA"/>
        </w:rPr>
      </w:pPr>
      <w:r>
        <w:rPr>
          <w:rFonts w:hint="eastAsia" w:ascii="楷体" w:hAnsi="楷体" w:eastAsia="楷体" w:cs="楷体"/>
          <w:kern w:val="2"/>
          <w:sz w:val="32"/>
          <w:szCs w:val="32"/>
          <w:lang w:val="en-US" w:eastAsia="zh-CN" w:bidi="ar-SA"/>
        </w:rPr>
        <w:t>各县（市）、区人民政府，</w:t>
      </w:r>
      <w:r>
        <w:rPr>
          <w:rFonts w:hint="eastAsia" w:ascii="楷体" w:hAnsi="楷体" w:eastAsia="楷体" w:cs="楷体"/>
          <w:kern w:val="2"/>
          <w:sz w:val="32"/>
          <w:szCs w:val="32"/>
          <w:lang w:eastAsia="zh-CN" w:bidi="ar-SA"/>
        </w:rPr>
        <w:t>市政府各有关直属</w:t>
      </w:r>
      <w:r>
        <w:rPr>
          <w:rFonts w:hint="eastAsia" w:ascii="楷体" w:hAnsi="楷体" w:eastAsia="楷体" w:cs="楷体"/>
          <w:kern w:val="2"/>
          <w:sz w:val="32"/>
          <w:szCs w:val="32"/>
          <w:lang w:val="en-US" w:eastAsia="zh-CN" w:bidi="ar-SA"/>
        </w:rPr>
        <w:t>单位：</w:t>
      </w:r>
    </w:p>
    <w:p>
      <w:pPr>
        <w:keepNext w:val="0"/>
        <w:keepLines w:val="0"/>
        <w:pageBreakBefore w:val="0"/>
        <w:widowControl/>
        <w:kinsoku/>
        <w:wordWrap/>
        <w:overflowPunct/>
        <w:topLinePunct w:val="0"/>
        <w:autoSpaceDE/>
        <w:autoSpaceDN/>
        <w:bidi w:val="0"/>
        <w:adjustRightInd/>
        <w:snapToGrid/>
        <w:spacing w:line="600" w:lineRule="exact"/>
        <w:ind w:firstLine="640" w:firstLineChars="200"/>
        <w:jc w:val="left"/>
        <w:textAlignment w:val="auto"/>
        <w:rPr>
          <w:rFonts w:hint="eastAsia" w:ascii="楷体" w:hAnsi="楷体" w:eastAsia="楷体" w:cs="楷体"/>
          <w:b w:val="0"/>
          <w:bCs w:val="0"/>
          <w:kern w:val="2"/>
          <w:sz w:val="32"/>
          <w:szCs w:val="32"/>
          <w:lang w:val="en-US" w:eastAsia="zh-CN" w:bidi="ar-SA"/>
        </w:rPr>
      </w:pPr>
      <w:r>
        <w:rPr>
          <w:rFonts w:hint="eastAsia" w:ascii="楷体" w:hAnsi="楷体" w:eastAsia="楷体" w:cs="楷体"/>
          <w:b w:val="0"/>
          <w:bCs w:val="0"/>
          <w:kern w:val="2"/>
          <w:sz w:val="32"/>
          <w:szCs w:val="32"/>
          <w:lang w:val="en-US" w:eastAsia="zh-CN" w:bidi="ar-SA"/>
        </w:rPr>
        <w:t>《</w:t>
      </w:r>
      <w:r>
        <w:rPr>
          <w:rFonts w:hint="eastAsia" w:ascii="楷体" w:hAnsi="楷体" w:eastAsia="楷体" w:cs="楷体"/>
          <w:b w:val="0"/>
          <w:bCs w:val="0"/>
          <w:sz w:val="32"/>
          <w:szCs w:val="32"/>
          <w:lang w:eastAsia="zh-CN"/>
        </w:rPr>
        <w:t>牡丹江</w:t>
      </w:r>
      <w:r>
        <w:rPr>
          <w:rFonts w:hint="eastAsia" w:ascii="楷体" w:hAnsi="楷体" w:eastAsia="楷体" w:cs="楷体"/>
          <w:b w:val="0"/>
          <w:bCs w:val="0"/>
          <w:sz w:val="32"/>
          <w:szCs w:val="32"/>
        </w:rPr>
        <w:t>市公共资源交易信用评价管理办法</w:t>
      </w:r>
      <w:r>
        <w:rPr>
          <w:rFonts w:hint="eastAsia" w:ascii="楷体" w:hAnsi="楷体" w:eastAsia="楷体" w:cs="楷体"/>
          <w:b w:val="0"/>
          <w:bCs w:val="0"/>
          <w:sz w:val="32"/>
          <w:szCs w:val="32"/>
          <w:lang w:eastAsia="zh-CN"/>
        </w:rPr>
        <w:t>（试行）</w:t>
      </w:r>
      <w:r>
        <w:rPr>
          <w:rFonts w:hint="eastAsia" w:ascii="楷体" w:hAnsi="楷体" w:eastAsia="楷体" w:cs="楷体"/>
          <w:b w:val="0"/>
          <w:bCs w:val="0"/>
          <w:kern w:val="2"/>
          <w:sz w:val="32"/>
          <w:szCs w:val="32"/>
          <w:lang w:val="en-US" w:eastAsia="zh-CN" w:bidi="ar-SA"/>
        </w:rPr>
        <w:t>》</w:t>
      </w:r>
      <w:r>
        <w:rPr>
          <w:rFonts w:hint="eastAsia" w:ascii="楷体" w:hAnsi="楷体" w:eastAsia="楷体" w:cs="楷体"/>
          <w:b w:val="0"/>
          <w:bCs w:val="0"/>
          <w:kern w:val="2"/>
          <w:sz w:val="32"/>
          <w:szCs w:val="32"/>
          <w:lang w:eastAsia="zh-CN" w:bidi="ar-SA"/>
        </w:rPr>
        <w:t>已经市政府第17届43次常务会议讨论通过，现</w:t>
      </w:r>
      <w:r>
        <w:rPr>
          <w:rFonts w:hint="eastAsia" w:ascii="楷体" w:hAnsi="楷体" w:eastAsia="楷体" w:cs="楷体"/>
          <w:b w:val="0"/>
          <w:bCs w:val="0"/>
          <w:kern w:val="2"/>
          <w:sz w:val="32"/>
          <w:szCs w:val="32"/>
          <w:lang w:val="en-US" w:eastAsia="zh-CN" w:bidi="ar-SA"/>
        </w:rPr>
        <w:t>印发给你们，请</w:t>
      </w:r>
      <w:r>
        <w:rPr>
          <w:rFonts w:hint="eastAsia" w:ascii="楷体" w:hAnsi="楷体" w:eastAsia="楷体" w:cs="楷体"/>
          <w:b w:val="0"/>
          <w:bCs w:val="0"/>
          <w:kern w:val="2"/>
          <w:sz w:val="32"/>
          <w:szCs w:val="32"/>
          <w:lang w:eastAsia="zh-CN" w:bidi="ar-SA"/>
        </w:rPr>
        <w:t>认</w:t>
      </w:r>
      <w:r>
        <w:rPr>
          <w:rFonts w:hint="eastAsia" w:ascii="楷体" w:hAnsi="楷体" w:eastAsia="楷体" w:cs="楷体"/>
          <w:b w:val="0"/>
          <w:bCs w:val="0"/>
          <w:kern w:val="2"/>
          <w:sz w:val="32"/>
          <w:szCs w:val="32"/>
          <w:lang w:val="en-US" w:eastAsia="zh-CN" w:bidi="ar-SA"/>
        </w:rPr>
        <w:t>真贯彻执行。</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楷体" w:hAnsi="楷体" w:eastAsia="楷体" w:cs="楷体"/>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楷体" w:hAnsi="楷体" w:eastAsia="楷体" w:cs="楷体"/>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ind w:firstLine="3840" w:firstLineChars="1200"/>
        <w:jc w:val="both"/>
        <w:textAlignment w:val="auto"/>
        <w:rPr>
          <w:rFonts w:hint="eastAsia" w:ascii="楷体" w:hAnsi="楷体" w:eastAsia="楷体" w:cs="楷体"/>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楷体" w:hAnsi="楷体" w:eastAsia="楷体" w:cs="楷体"/>
          <w:kern w:val="2"/>
          <w:sz w:val="32"/>
          <w:szCs w:val="32"/>
          <w:lang w:eastAsia="zh-CN" w:bidi="ar-SA"/>
        </w:rPr>
      </w:pPr>
      <w:r>
        <w:rPr>
          <w:rFonts w:hint="eastAsia" w:ascii="楷体" w:hAnsi="楷体" w:eastAsia="楷体" w:cs="楷体"/>
          <w:kern w:val="2"/>
          <w:sz w:val="32"/>
          <w:szCs w:val="32"/>
          <w:lang w:val="en-US" w:eastAsia="zh-CN" w:bidi="ar-SA"/>
        </w:rPr>
        <w:t xml:space="preserve">                 牡丹江市人民政府</w:t>
      </w:r>
      <w:r>
        <w:rPr>
          <w:rFonts w:hint="eastAsia" w:ascii="楷体" w:hAnsi="楷体" w:eastAsia="楷体" w:cs="楷体"/>
          <w:kern w:val="2"/>
          <w:sz w:val="32"/>
          <w:szCs w:val="32"/>
          <w:lang w:eastAsia="zh-CN" w:bidi="ar-SA"/>
        </w:rPr>
        <w:t>办公室</w:t>
      </w:r>
    </w:p>
    <w:p>
      <w:pPr>
        <w:widowControl w:val="0"/>
        <w:wordWrap/>
        <w:adjustRightInd/>
        <w:snapToGrid/>
        <w:spacing w:line="600" w:lineRule="exact"/>
        <w:jc w:val="center"/>
        <w:textAlignment w:val="auto"/>
        <w:rPr>
          <w:rFonts w:hint="eastAsia" w:ascii="楷体" w:hAnsi="楷体" w:eastAsia="楷体" w:cs="楷体"/>
          <w:sz w:val="32"/>
          <w:szCs w:val="32"/>
        </w:rPr>
      </w:pPr>
      <w:r>
        <w:rPr>
          <w:rFonts w:hint="eastAsia" w:ascii="楷体" w:hAnsi="楷体" w:eastAsia="楷体" w:cs="楷体"/>
          <w:kern w:val="2"/>
          <w:sz w:val="32"/>
          <w:szCs w:val="32"/>
          <w:lang w:val="en-US" w:eastAsia="zh-CN" w:bidi="ar-SA"/>
        </w:rPr>
        <w:t xml:space="preserve">                 202</w:t>
      </w:r>
      <w:r>
        <w:rPr>
          <w:rFonts w:hint="eastAsia" w:ascii="楷体" w:hAnsi="楷体" w:eastAsia="楷体" w:cs="楷体"/>
          <w:kern w:val="2"/>
          <w:sz w:val="32"/>
          <w:szCs w:val="32"/>
          <w:lang w:eastAsia="zh-CN" w:bidi="ar-SA"/>
        </w:rPr>
        <w:t>4</w:t>
      </w:r>
      <w:r>
        <w:rPr>
          <w:rFonts w:hint="eastAsia" w:ascii="楷体" w:hAnsi="楷体" w:eastAsia="楷体" w:cs="楷体"/>
          <w:kern w:val="2"/>
          <w:sz w:val="32"/>
          <w:szCs w:val="32"/>
          <w:lang w:val="en-US" w:eastAsia="zh-CN" w:bidi="ar-SA"/>
        </w:rPr>
        <w:t>年</w:t>
      </w:r>
      <w:r>
        <w:rPr>
          <w:rFonts w:hint="default" w:ascii="楷体" w:hAnsi="楷体" w:eastAsia="楷体" w:cs="楷体"/>
          <w:kern w:val="2"/>
          <w:sz w:val="32"/>
          <w:szCs w:val="32"/>
          <w:lang w:eastAsia="zh-CN" w:bidi="ar-SA"/>
        </w:rPr>
        <w:t>2</w:t>
      </w:r>
      <w:r>
        <w:rPr>
          <w:rFonts w:hint="eastAsia" w:ascii="楷体" w:hAnsi="楷体" w:eastAsia="楷体" w:cs="楷体"/>
          <w:kern w:val="2"/>
          <w:sz w:val="32"/>
          <w:szCs w:val="32"/>
          <w:lang w:val="en-US" w:eastAsia="zh-CN" w:bidi="ar-SA"/>
        </w:rPr>
        <w:t>月</w:t>
      </w:r>
      <w:r>
        <w:rPr>
          <w:rFonts w:hint="default" w:ascii="楷体" w:hAnsi="楷体" w:eastAsia="楷体" w:cs="楷体"/>
          <w:kern w:val="2"/>
          <w:sz w:val="32"/>
          <w:szCs w:val="32"/>
          <w:lang w:eastAsia="zh-CN" w:bidi="ar-SA"/>
        </w:rPr>
        <w:t>4</w:t>
      </w:r>
      <w:r>
        <w:rPr>
          <w:rFonts w:hint="eastAsia" w:ascii="楷体" w:hAnsi="楷体" w:eastAsia="楷体" w:cs="楷体"/>
          <w:kern w:val="2"/>
          <w:sz w:val="32"/>
          <w:szCs w:val="32"/>
          <w:lang w:val="en-US" w:eastAsia="zh-CN" w:bidi="ar-SA"/>
        </w:rPr>
        <w:t>日</w:t>
      </w:r>
    </w:p>
    <w:p>
      <w:pPr>
        <w:spacing w:line="600" w:lineRule="exact"/>
        <w:jc w:val="center"/>
        <w:rPr>
          <w:rFonts w:hint="eastAsia" w:ascii="仿宋_GB2312" w:hAnsi="仿宋_GB2312" w:eastAsia="仿宋_GB2312" w:cs="仿宋_GB2312"/>
          <w:b w:val="0"/>
          <w:bCs w:val="0"/>
          <w:sz w:val="32"/>
          <w:szCs w:val="32"/>
          <w:lang w:eastAsia="zh-CN"/>
        </w:rPr>
        <w:sectPr>
          <w:footerReference r:id="rId3" w:type="default"/>
          <w:pgSz w:w="11906" w:h="16838"/>
          <w:pgMar w:top="1440" w:right="1800" w:bottom="1440" w:left="1800" w:header="851" w:footer="992" w:gutter="0"/>
          <w:pgNumType w:fmt="numberInDash" w:start="1"/>
          <w:cols w:space="720" w:num="1"/>
          <w:docGrid w:type="lines" w:linePitch="312" w:charSpace="0"/>
        </w:sectPr>
      </w:pPr>
    </w:p>
    <w:p>
      <w:pPr>
        <w:spacing w:line="600" w:lineRule="exact"/>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lang w:eastAsia="zh-CN"/>
        </w:rPr>
        <w:t>牡丹江</w:t>
      </w:r>
      <w:r>
        <w:rPr>
          <w:rFonts w:hint="eastAsia" w:ascii="方正小标宋简体" w:hAnsi="方正小标宋简体" w:eastAsia="方正小标宋简体" w:cs="方正小标宋简体"/>
          <w:b w:val="0"/>
          <w:bCs w:val="0"/>
          <w:sz w:val="44"/>
          <w:szCs w:val="44"/>
        </w:rPr>
        <w:t>市公共资源交易信用评价</w:t>
      </w:r>
    </w:p>
    <w:p>
      <w:pPr>
        <w:spacing w:line="600" w:lineRule="exact"/>
        <w:jc w:val="center"/>
        <w:rPr>
          <w:rFonts w:hint="eastAsia" w:ascii="方正小标宋简体" w:hAnsi="方正小标宋简体" w:eastAsia="方正小标宋简体" w:cs="方正小标宋简体"/>
          <w:b w:val="0"/>
          <w:bCs w:val="0"/>
          <w:sz w:val="44"/>
          <w:szCs w:val="44"/>
          <w:lang w:eastAsia="zh-CN"/>
        </w:rPr>
      </w:pPr>
      <w:r>
        <w:rPr>
          <w:rFonts w:hint="eastAsia" w:ascii="方正小标宋简体" w:hAnsi="方正小标宋简体" w:eastAsia="方正小标宋简体" w:cs="方正小标宋简体"/>
          <w:b w:val="0"/>
          <w:bCs w:val="0"/>
          <w:sz w:val="44"/>
          <w:szCs w:val="44"/>
        </w:rPr>
        <w:t>管理办法</w:t>
      </w:r>
      <w:r>
        <w:rPr>
          <w:rFonts w:hint="eastAsia" w:ascii="方正小标宋简体" w:hAnsi="方正小标宋简体" w:eastAsia="方正小标宋简体" w:cs="方正小标宋简体"/>
          <w:b w:val="0"/>
          <w:bCs w:val="0"/>
          <w:sz w:val="44"/>
          <w:szCs w:val="44"/>
          <w:lang w:eastAsia="zh-CN"/>
        </w:rPr>
        <w:t>（试行）</w:t>
      </w:r>
    </w:p>
    <w:p>
      <w:pPr>
        <w:spacing w:line="600" w:lineRule="exact"/>
        <w:jc w:val="center"/>
        <w:rPr>
          <w:rFonts w:hint="eastAsia" w:ascii="仿宋_GB2312" w:hAnsi="仿宋_GB2312" w:eastAsia="仿宋_GB2312" w:cs="仿宋_GB2312"/>
          <w:sz w:val="32"/>
          <w:szCs w:val="32"/>
          <w:lang w:val="en-US" w:eastAsia="zh-CN"/>
        </w:rPr>
      </w:pPr>
    </w:p>
    <w:p>
      <w:pPr>
        <w:spacing w:line="60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sz w:val="32"/>
          <w:szCs w:val="32"/>
        </w:rPr>
        <w:t>第一条 为</w:t>
      </w:r>
      <w:r>
        <w:rPr>
          <w:rFonts w:hint="eastAsia" w:ascii="仿宋_GB2312" w:hAnsi="仿宋_GB2312" w:eastAsia="仿宋_GB2312" w:cs="仿宋_GB2312"/>
          <w:sz w:val="32"/>
          <w:szCs w:val="32"/>
          <w:lang w:eastAsia="zh-CN"/>
        </w:rPr>
        <w:t>规范公共资源领域交易行为，推进</w:t>
      </w:r>
      <w:r>
        <w:rPr>
          <w:rFonts w:hint="eastAsia" w:ascii="仿宋_GB2312" w:hAnsi="仿宋_GB2312" w:eastAsia="仿宋_GB2312" w:cs="仿宋_GB2312"/>
          <w:sz w:val="32"/>
          <w:szCs w:val="32"/>
        </w:rPr>
        <w:t>我市公共资源交易领域信用</w:t>
      </w:r>
      <w:r>
        <w:rPr>
          <w:rFonts w:hint="eastAsia" w:ascii="仿宋_GB2312" w:hAnsi="仿宋_GB2312" w:eastAsia="仿宋_GB2312" w:cs="仿宋_GB2312"/>
          <w:sz w:val="32"/>
          <w:szCs w:val="32"/>
          <w:lang w:eastAsia="zh-CN"/>
        </w:rPr>
        <w:t>评价</w:t>
      </w:r>
      <w:r>
        <w:rPr>
          <w:rFonts w:hint="eastAsia" w:ascii="仿宋_GB2312" w:hAnsi="仿宋_GB2312" w:eastAsia="仿宋_GB2312" w:cs="仿宋_GB2312"/>
          <w:sz w:val="32"/>
          <w:szCs w:val="32"/>
        </w:rPr>
        <w:t>体系建设，完善守信激励和失信惩戒</w:t>
      </w:r>
      <w:r>
        <w:rPr>
          <w:rFonts w:hint="eastAsia" w:ascii="仿宋_GB2312" w:hAnsi="仿宋_GB2312" w:eastAsia="仿宋_GB2312" w:cs="仿宋_GB2312"/>
          <w:sz w:val="32"/>
          <w:szCs w:val="32"/>
          <w:lang w:eastAsia="zh-CN"/>
        </w:rPr>
        <w:t>机制</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营造诚实守信的公共资源交易环境，</w:t>
      </w:r>
      <w:r>
        <w:rPr>
          <w:rFonts w:hint="eastAsia" w:ascii="仿宋_GB2312" w:hAnsi="仿宋_GB2312" w:eastAsia="仿宋_GB2312" w:cs="仿宋_GB2312"/>
          <w:sz w:val="32"/>
          <w:szCs w:val="32"/>
        </w:rPr>
        <w:t>增强公共资源交</w:t>
      </w:r>
      <w:r>
        <w:rPr>
          <w:rFonts w:hint="eastAsia" w:ascii="仿宋_GB2312" w:hAnsi="仿宋_GB2312" w:eastAsia="仿宋_GB2312" w:cs="仿宋_GB2312"/>
          <w:color w:val="000000"/>
          <w:sz w:val="32"/>
          <w:szCs w:val="32"/>
        </w:rPr>
        <w:t>易当事人诚实守信、依法交易意识，维护市场公平竞争</w:t>
      </w:r>
      <w:r>
        <w:rPr>
          <w:rFonts w:hint="eastAsia" w:ascii="仿宋_GB2312" w:hAnsi="仿宋_GB2312" w:eastAsia="仿宋_GB2312" w:cs="仿宋_GB2312"/>
          <w:color w:val="000000"/>
          <w:sz w:val="32"/>
          <w:szCs w:val="32"/>
          <w:lang w:eastAsia="zh-CN"/>
        </w:rPr>
        <w:t>环境</w:t>
      </w:r>
      <w:r>
        <w:rPr>
          <w:rFonts w:hint="eastAsia" w:ascii="仿宋_GB2312" w:hAnsi="仿宋_GB2312" w:eastAsia="仿宋_GB2312" w:cs="仿宋_GB2312"/>
          <w:color w:val="000000"/>
          <w:sz w:val="32"/>
          <w:szCs w:val="32"/>
        </w:rPr>
        <w:t>，根据《关于创新政府配置资源方式的指导意见》（中办发〔2016〕75号）</w:t>
      </w:r>
      <w:r>
        <w:rPr>
          <w:rFonts w:hint="eastAsia" w:ascii="仿宋_GB2312" w:hAnsi="仿宋_GB2312" w:eastAsia="仿宋_GB2312" w:cs="仿宋_GB2312"/>
          <w:color w:val="000000"/>
          <w:sz w:val="32"/>
          <w:szCs w:val="32"/>
          <w:lang w:eastAsia="zh-CN"/>
        </w:rPr>
        <w:t>、《国务院办公厅转发国家发展改革委关于深化公共资源交易平台整合共享指导意见</w:t>
      </w:r>
      <w:r>
        <w:rPr>
          <w:rFonts w:hint="default" w:ascii="仿宋_GB2312" w:hAnsi="仿宋_GB2312" w:eastAsia="仿宋_GB2312" w:cs="仿宋_GB2312"/>
          <w:color w:val="000000"/>
          <w:sz w:val="32"/>
          <w:szCs w:val="32"/>
          <w:lang w:eastAsia="zh-CN"/>
        </w:rPr>
        <w:t>的通知</w:t>
      </w:r>
      <w:r>
        <w:rPr>
          <w:rFonts w:hint="eastAsia" w:ascii="仿宋_GB2312" w:hAnsi="仿宋_GB2312" w:eastAsia="仿宋_GB2312" w:cs="仿宋_GB2312"/>
          <w:color w:val="000000"/>
          <w:sz w:val="32"/>
          <w:szCs w:val="32"/>
          <w:lang w:eastAsia="zh-CN"/>
        </w:rPr>
        <w:t>》（国办函〔2019〕41号）、《优化营商环境条例》《公共资源交易平台管理暂行办法》《黑龙江省人民政府办公厅关于印发黑龙江省进一步深化市场主体信用分级分类监管若干措施的通知》（黑政办规〔20</w:t>
      </w:r>
      <w:r>
        <w:rPr>
          <w:rFonts w:hint="eastAsia" w:ascii="仿宋_GB2312" w:hAnsi="仿宋_GB2312" w:eastAsia="仿宋_GB2312" w:cs="仿宋_GB2312"/>
          <w:color w:val="000000"/>
          <w:sz w:val="32"/>
          <w:szCs w:val="32"/>
          <w:lang w:val="en-US" w:eastAsia="zh-CN"/>
        </w:rPr>
        <w:t>21</w:t>
      </w:r>
      <w:r>
        <w:rPr>
          <w:rFonts w:hint="eastAsia" w:ascii="仿宋_GB2312" w:hAnsi="仿宋_GB2312" w:eastAsia="仿宋_GB2312" w:cs="仿宋_GB2312"/>
          <w:color w:val="000000"/>
          <w:sz w:val="32"/>
          <w:szCs w:val="32"/>
          <w:lang w:eastAsia="zh-CN"/>
        </w:rPr>
        <w:t>〕4</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lang w:eastAsia="zh-CN"/>
        </w:rPr>
        <w:t>号）、《公共资源交易主体信用评价实施指南》（GB/Z41465-2022）</w:t>
      </w:r>
      <w:r>
        <w:rPr>
          <w:rFonts w:hint="eastAsia" w:ascii="仿宋_GB2312" w:hAnsi="仿宋_GB2312" w:eastAsia="仿宋_GB2312" w:cs="仿宋_GB2312"/>
          <w:color w:val="000000"/>
          <w:sz w:val="32"/>
          <w:szCs w:val="32"/>
        </w:rPr>
        <w:t>等</w:t>
      </w:r>
      <w:r>
        <w:rPr>
          <w:rFonts w:hint="eastAsia" w:ascii="仿宋_GB2312" w:hAnsi="仿宋_GB2312" w:eastAsia="仿宋_GB2312" w:cs="仿宋_GB2312"/>
          <w:color w:val="000000"/>
          <w:sz w:val="32"/>
          <w:szCs w:val="32"/>
          <w:lang w:eastAsia="zh-CN"/>
        </w:rPr>
        <w:t>相关</w:t>
      </w:r>
      <w:r>
        <w:rPr>
          <w:rFonts w:hint="eastAsia" w:ascii="仿宋_GB2312" w:hAnsi="仿宋_GB2312" w:eastAsia="仿宋_GB2312" w:cs="仿宋_GB2312"/>
          <w:color w:val="000000"/>
          <w:sz w:val="32"/>
          <w:szCs w:val="32"/>
        </w:rPr>
        <w:t>规定，结合本市实际，制定本办法。</w:t>
      </w:r>
    </w:p>
    <w:p>
      <w:pPr>
        <w:spacing w:line="600" w:lineRule="exact"/>
        <w:ind w:firstLine="651"/>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第二条 本办法适用于进入</w:t>
      </w:r>
      <w:r>
        <w:rPr>
          <w:rFonts w:hint="eastAsia" w:ascii="仿宋_GB2312" w:hAnsi="仿宋_GB2312" w:eastAsia="仿宋_GB2312" w:cs="仿宋_GB2312"/>
          <w:sz w:val="32"/>
          <w:szCs w:val="32"/>
          <w:lang w:eastAsia="zh-CN"/>
        </w:rPr>
        <w:t>牡丹江</w:t>
      </w:r>
      <w:r>
        <w:rPr>
          <w:rFonts w:hint="eastAsia" w:ascii="仿宋_GB2312" w:hAnsi="仿宋_GB2312" w:eastAsia="仿宋_GB2312" w:cs="仿宋_GB2312"/>
          <w:sz w:val="32"/>
          <w:szCs w:val="32"/>
        </w:rPr>
        <w:t>市公共资源交易平台参</w:t>
      </w:r>
      <w:r>
        <w:rPr>
          <w:rFonts w:hint="eastAsia" w:ascii="仿宋_GB2312" w:hAnsi="仿宋_GB2312" w:eastAsia="仿宋_GB2312" w:cs="仿宋_GB2312"/>
          <w:sz w:val="32"/>
          <w:szCs w:val="32"/>
          <w:lang w:eastAsia="zh-CN"/>
        </w:rPr>
        <w:t>与</w:t>
      </w:r>
      <w:r>
        <w:rPr>
          <w:rFonts w:hint="eastAsia" w:ascii="仿宋_GB2312" w:hAnsi="仿宋_GB2312" w:eastAsia="仿宋_GB2312" w:cs="仿宋_GB2312"/>
          <w:sz w:val="32"/>
          <w:szCs w:val="32"/>
        </w:rPr>
        <w:t>公共资源</w:t>
      </w:r>
      <w:r>
        <w:rPr>
          <w:rFonts w:hint="eastAsia" w:ascii="仿宋_GB2312" w:hAnsi="仿宋_GB2312" w:eastAsia="仿宋_GB2312" w:cs="仿宋_GB2312"/>
          <w:sz w:val="32"/>
          <w:szCs w:val="32"/>
          <w:lang w:eastAsia="zh-CN"/>
        </w:rPr>
        <w:t>项目交易活动的</w:t>
      </w:r>
      <w:r>
        <w:rPr>
          <w:rFonts w:hint="eastAsia" w:ascii="仿宋_GB2312" w:hAnsi="仿宋_GB2312" w:eastAsia="仿宋_GB2312" w:cs="仿宋_GB2312"/>
          <w:sz w:val="32"/>
          <w:szCs w:val="32"/>
        </w:rPr>
        <w:t>交易当事人</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信用评价与管理。</w:t>
      </w:r>
    </w:p>
    <w:p>
      <w:pPr>
        <w:spacing w:line="60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本办法所称</w:t>
      </w:r>
      <w:r>
        <w:rPr>
          <w:rFonts w:hint="eastAsia" w:ascii="仿宋_GB2312" w:hAnsi="仿宋_GB2312" w:eastAsia="仿宋_GB2312" w:cs="仿宋_GB2312"/>
          <w:sz w:val="32"/>
          <w:szCs w:val="32"/>
        </w:rPr>
        <w:t>公共资源交易当事人</w:t>
      </w:r>
      <w:r>
        <w:rPr>
          <w:rFonts w:hint="eastAsia" w:ascii="仿宋_GB2312" w:hAnsi="仿宋_GB2312" w:eastAsia="仿宋_GB2312" w:cs="仿宋_GB2312"/>
          <w:sz w:val="32"/>
          <w:szCs w:val="32"/>
          <w:lang w:eastAsia="zh-CN"/>
        </w:rPr>
        <w:t>，包括参与公共资源交易活动的</w:t>
      </w:r>
      <w:r>
        <w:rPr>
          <w:rFonts w:hint="eastAsia" w:ascii="仿宋_GB2312" w:hAnsi="仿宋_GB2312" w:eastAsia="仿宋_GB2312" w:cs="仿宋_GB2312"/>
          <w:sz w:val="32"/>
          <w:szCs w:val="32"/>
        </w:rPr>
        <w:t>招标代理机构</w:t>
      </w:r>
      <w:r>
        <w:rPr>
          <w:rFonts w:hint="eastAsia" w:ascii="仿宋_GB2312" w:hAnsi="仿宋_GB2312" w:eastAsia="仿宋_GB2312" w:cs="仿宋_GB2312"/>
          <w:sz w:val="32"/>
          <w:szCs w:val="32"/>
          <w:highlight w:val="none"/>
        </w:rPr>
        <w:t>、拍卖机构、产权交易机构等</w:t>
      </w:r>
      <w:r>
        <w:rPr>
          <w:rFonts w:hint="eastAsia" w:ascii="仿宋_GB2312" w:hAnsi="仿宋_GB2312" w:eastAsia="仿宋_GB2312" w:cs="仿宋_GB2312"/>
          <w:sz w:val="32"/>
          <w:szCs w:val="32"/>
          <w:highlight w:val="none"/>
          <w:lang w:eastAsia="zh-CN"/>
        </w:rPr>
        <w:t>中介代理和服务机构；</w:t>
      </w:r>
      <w:r>
        <w:rPr>
          <w:rFonts w:hint="eastAsia" w:ascii="仿宋_GB2312" w:hAnsi="仿宋_GB2312" w:eastAsia="仿宋_GB2312" w:cs="仿宋_GB2312"/>
          <w:sz w:val="32"/>
          <w:szCs w:val="32"/>
        </w:rPr>
        <w:t>投标人、供应商、</w:t>
      </w:r>
      <w:r>
        <w:rPr>
          <w:rFonts w:hint="eastAsia" w:ascii="仿宋_GB2312" w:hAnsi="仿宋_GB2312" w:eastAsia="仿宋_GB2312" w:cs="仿宋_GB2312"/>
          <w:sz w:val="32"/>
          <w:szCs w:val="32"/>
          <w:lang w:eastAsia="zh-CN"/>
        </w:rPr>
        <w:t>受让人、</w:t>
      </w:r>
      <w:r>
        <w:rPr>
          <w:rFonts w:hint="eastAsia" w:ascii="仿宋_GB2312" w:hAnsi="仿宋_GB2312" w:eastAsia="仿宋_GB2312" w:cs="仿宋_GB2312"/>
          <w:sz w:val="32"/>
          <w:szCs w:val="32"/>
        </w:rPr>
        <w:t>竞买人等项目响应方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评标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评审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专家</w:t>
      </w:r>
      <w:r>
        <w:rPr>
          <w:rFonts w:hint="eastAsia" w:ascii="仿宋_GB2312" w:hAnsi="仿宋_GB2312" w:eastAsia="仿宋_GB2312" w:cs="仿宋_GB2312"/>
          <w:sz w:val="32"/>
          <w:szCs w:val="32"/>
          <w:lang w:eastAsia="zh-CN"/>
        </w:rPr>
        <w:t>以及相关从业人员等</w:t>
      </w:r>
      <w:r>
        <w:rPr>
          <w:rFonts w:hint="eastAsia" w:ascii="仿宋_GB2312" w:hAnsi="仿宋_GB2312" w:eastAsia="仿宋_GB2312" w:cs="仿宋_GB2312"/>
          <w:sz w:val="32"/>
          <w:szCs w:val="32"/>
        </w:rPr>
        <w:t>。</w:t>
      </w:r>
    </w:p>
    <w:p>
      <w:pPr>
        <w:spacing w:line="600" w:lineRule="exact"/>
        <w:ind w:firstLine="64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本办法所称公共资源交易是指全市政府采购、工程建设项目招投标、国有土地使用权及矿业权的招标、拍卖、挂牌以及国有产权的转让、出租等具有公有性、公益性的资源交易活动。</w:t>
      </w:r>
    </w:p>
    <w:p>
      <w:pPr>
        <w:spacing w:line="600" w:lineRule="exact"/>
        <w:ind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第三条</w:t>
      </w:r>
      <w:r>
        <w:rPr>
          <w:rFonts w:hint="eastAsia" w:ascii="仿宋_GB2312" w:hAnsi="仿宋_GB2312" w:eastAsia="仿宋_GB2312" w:cs="仿宋_GB2312"/>
          <w:sz w:val="32"/>
          <w:szCs w:val="32"/>
          <w:lang w:val="en-US" w:eastAsia="zh-CN"/>
        </w:rPr>
        <w:t xml:space="preserve"> 本办法所称公共资源交易信用评价管理是指按照一定的方法和程序，对交易当事人的信用状况作出评估，并以信用分数或信用等级形式来展示的一种管理活动。</w:t>
      </w:r>
    </w:p>
    <w:p>
      <w:pPr>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市发改委负责协调指导全市公共资源交易信用评价工作，</w:t>
      </w:r>
      <w:r>
        <w:rPr>
          <w:rFonts w:hint="eastAsia" w:ascii="仿宋_GB2312" w:hAnsi="仿宋_GB2312" w:eastAsia="仿宋_GB2312" w:cs="仿宋_GB2312"/>
          <w:sz w:val="32"/>
          <w:szCs w:val="32"/>
        </w:rPr>
        <w:t>各</w:t>
      </w:r>
      <w:r>
        <w:rPr>
          <w:rFonts w:hint="eastAsia" w:ascii="仿宋_GB2312" w:hAnsi="仿宋_GB2312" w:eastAsia="仿宋_GB2312" w:cs="仿宋_GB2312"/>
          <w:sz w:val="32"/>
          <w:szCs w:val="32"/>
          <w:lang w:eastAsia="zh-CN"/>
        </w:rPr>
        <w:t>行业行政监管部门</w:t>
      </w:r>
      <w:r>
        <w:rPr>
          <w:rFonts w:hint="eastAsia" w:ascii="仿宋_GB2312" w:hAnsi="仿宋_GB2312" w:eastAsia="仿宋_GB2312" w:cs="仿宋_GB2312"/>
          <w:sz w:val="32"/>
          <w:szCs w:val="32"/>
        </w:rPr>
        <w:t>按照职责分工，对各自领域、行业信用评价工作进行监督管理。</w:t>
      </w:r>
    </w:p>
    <w:p>
      <w:pPr>
        <w:spacing w:line="600" w:lineRule="exact"/>
        <w:ind w:firstLine="640" w:firstLineChars="200"/>
        <w:rPr>
          <w:rFonts w:hint="eastAsia" w:ascii="仿宋_GB2312" w:hAnsi="仿宋_GB2312" w:eastAsia="仿宋_GB2312" w:cs="仿宋_GB2312"/>
          <w:color w:val="0000FF"/>
          <w:sz w:val="32"/>
          <w:szCs w:val="32"/>
          <w:highlight w:val="green"/>
          <w:lang w:eastAsia="zh-CN"/>
        </w:rPr>
      </w:pPr>
      <w:r>
        <w:rPr>
          <w:rFonts w:hint="eastAsia" w:ascii="仿宋_GB2312" w:hAnsi="仿宋_GB2312" w:eastAsia="仿宋_GB2312" w:cs="仿宋_GB2312"/>
          <w:sz w:val="32"/>
          <w:szCs w:val="32"/>
        </w:rPr>
        <w:t>市公共资源交易中心（以下简称交易中心）</w:t>
      </w:r>
      <w:r>
        <w:rPr>
          <w:rFonts w:hint="eastAsia" w:ascii="仿宋_GB2312" w:hAnsi="仿宋_GB2312" w:eastAsia="仿宋_GB2312" w:cs="仿宋_GB2312"/>
          <w:sz w:val="32"/>
          <w:szCs w:val="32"/>
          <w:lang w:eastAsia="zh-CN"/>
        </w:rPr>
        <w:t>作为全市公共资源交易服务部门，负责推进公共资源交易领域信用评价体系建设，并</w:t>
      </w:r>
      <w:r>
        <w:rPr>
          <w:rFonts w:hint="eastAsia" w:ascii="仿宋_GB2312" w:hAnsi="仿宋_GB2312" w:eastAsia="仿宋_GB2312" w:cs="仿宋_GB2312"/>
          <w:sz w:val="32"/>
          <w:szCs w:val="32"/>
        </w:rPr>
        <w:t>具体开展公共资源交易</w:t>
      </w:r>
      <w:r>
        <w:rPr>
          <w:rFonts w:hint="eastAsia" w:ascii="仿宋_GB2312" w:hAnsi="仿宋_GB2312" w:eastAsia="仿宋_GB2312" w:cs="仿宋_GB2312"/>
          <w:sz w:val="32"/>
          <w:szCs w:val="32"/>
          <w:lang w:eastAsia="zh-CN"/>
        </w:rPr>
        <w:t>领域信用信息归集、量化记分、信用考评管理等工作。</w:t>
      </w:r>
    </w:p>
    <w:p>
      <w:pPr>
        <w:spacing w:line="600" w:lineRule="exact"/>
        <w:ind w:firstLine="651"/>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条 公共资源交易信用评价工作应</w:t>
      </w:r>
      <w:r>
        <w:rPr>
          <w:rFonts w:hint="eastAsia" w:ascii="仿宋_GB2312" w:hAnsi="仿宋_GB2312" w:eastAsia="仿宋_GB2312" w:cs="仿宋_GB2312"/>
          <w:sz w:val="32"/>
          <w:szCs w:val="32"/>
          <w:lang w:eastAsia="zh-CN"/>
        </w:rPr>
        <w:t>当</w:t>
      </w:r>
      <w:r>
        <w:rPr>
          <w:rFonts w:hint="eastAsia" w:ascii="仿宋_GB2312" w:hAnsi="仿宋_GB2312" w:eastAsia="仿宋_GB2312" w:cs="仿宋_GB2312"/>
          <w:sz w:val="32"/>
          <w:szCs w:val="32"/>
        </w:rPr>
        <w:t>维护社会公共利益和公共资源交易当事人的合法权益，遵循公开、公平、公正、</w:t>
      </w:r>
      <w:r>
        <w:rPr>
          <w:rFonts w:hint="eastAsia" w:ascii="仿宋_GB2312" w:hAnsi="仿宋_GB2312" w:eastAsia="仿宋_GB2312" w:cs="仿宋_GB2312"/>
          <w:sz w:val="32"/>
          <w:szCs w:val="32"/>
          <w:lang w:eastAsia="zh-CN"/>
        </w:rPr>
        <w:t>客观、</w:t>
      </w:r>
      <w:r>
        <w:rPr>
          <w:rFonts w:hint="eastAsia" w:ascii="仿宋_GB2312" w:hAnsi="仿宋_GB2312" w:eastAsia="仿宋_GB2312" w:cs="仿宋_GB2312"/>
          <w:sz w:val="32"/>
          <w:szCs w:val="32"/>
        </w:rPr>
        <w:t>合法、安全、及时、准确、共享的原则。</w:t>
      </w:r>
    </w:p>
    <w:p>
      <w:pPr>
        <w:spacing w:line="600" w:lineRule="exact"/>
        <w:ind w:firstLine="651"/>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除涉及国家秘密、国家安全和依法应</w:t>
      </w:r>
      <w:r>
        <w:rPr>
          <w:rFonts w:hint="eastAsia" w:ascii="仿宋_GB2312" w:hAnsi="仿宋_GB2312" w:eastAsia="仿宋_GB2312" w:cs="仿宋_GB2312"/>
          <w:sz w:val="32"/>
          <w:szCs w:val="32"/>
          <w:lang w:eastAsia="zh-CN"/>
        </w:rPr>
        <w:t>当</w:t>
      </w:r>
      <w:r>
        <w:rPr>
          <w:rFonts w:hint="eastAsia" w:ascii="仿宋_GB2312" w:hAnsi="仿宋_GB2312" w:eastAsia="仿宋_GB2312" w:cs="仿宋_GB2312"/>
          <w:sz w:val="32"/>
          <w:szCs w:val="32"/>
        </w:rPr>
        <w:t>受保护的商业秘密、个人隐私外，公共资源交易信用</w:t>
      </w:r>
      <w:r>
        <w:rPr>
          <w:rFonts w:hint="eastAsia" w:ascii="仿宋_GB2312" w:hAnsi="仿宋_GB2312" w:eastAsia="仿宋_GB2312" w:cs="仿宋_GB2312"/>
          <w:sz w:val="32"/>
          <w:szCs w:val="32"/>
          <w:lang w:eastAsia="zh-CN"/>
        </w:rPr>
        <w:t>评价</w:t>
      </w:r>
      <w:r>
        <w:rPr>
          <w:rFonts w:hint="eastAsia" w:ascii="仿宋_GB2312" w:hAnsi="仿宋_GB2312" w:eastAsia="仿宋_GB2312" w:cs="仿宋_GB2312"/>
          <w:sz w:val="32"/>
          <w:szCs w:val="32"/>
        </w:rPr>
        <w:t>信息应当向社会公开。</w:t>
      </w:r>
    </w:p>
    <w:p>
      <w:pPr>
        <w:spacing w:line="600" w:lineRule="exact"/>
        <w:ind w:firstLine="658"/>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rPr>
        <w:t>条 </w:t>
      </w:r>
      <w:r>
        <w:rPr>
          <w:rFonts w:hint="eastAsia" w:ascii="仿宋_GB2312" w:hAnsi="仿宋_GB2312" w:eastAsia="仿宋_GB2312" w:cs="仿宋_GB2312"/>
          <w:sz w:val="32"/>
          <w:szCs w:val="32"/>
          <w:lang w:val="en-US" w:eastAsia="zh-CN"/>
        </w:rPr>
        <w:t>相关行业行政监管部门根据信用评价的评分细则</w:t>
      </w:r>
      <w:r>
        <w:rPr>
          <w:rFonts w:hint="eastAsia" w:ascii="仿宋_GB2312" w:hAnsi="仿宋_GB2312" w:eastAsia="仿宋_GB2312" w:cs="仿宋_GB2312"/>
          <w:sz w:val="32"/>
          <w:szCs w:val="32"/>
          <w:lang w:eastAsia="zh-CN"/>
        </w:rPr>
        <w:t>对公共资源交易当事人行为进行信用评价，</w:t>
      </w:r>
      <w:r>
        <w:rPr>
          <w:rFonts w:hint="eastAsia" w:ascii="仿宋_GB2312" w:hAnsi="仿宋_GB2312" w:eastAsia="仿宋_GB2312" w:cs="仿宋_GB2312"/>
          <w:sz w:val="32"/>
          <w:szCs w:val="32"/>
          <w:lang w:val="en-US" w:eastAsia="zh-CN"/>
        </w:rPr>
        <w:t>并由交易中心对信用分值进行</w:t>
      </w:r>
      <w:r>
        <w:rPr>
          <w:rFonts w:hint="eastAsia" w:ascii="仿宋_GB2312" w:hAnsi="仿宋_GB2312" w:eastAsia="仿宋_GB2312" w:cs="仿宋_GB2312"/>
          <w:sz w:val="32"/>
          <w:szCs w:val="32"/>
          <w:lang w:eastAsia="zh-CN"/>
        </w:rPr>
        <w:t>记录。</w:t>
      </w:r>
    </w:p>
    <w:p>
      <w:pPr>
        <w:spacing w:line="600" w:lineRule="exact"/>
        <w:ind w:firstLine="658"/>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第七条</w:t>
      </w:r>
      <w:r>
        <w:rPr>
          <w:rFonts w:hint="eastAsia" w:ascii="仿宋_GB2312" w:hAnsi="仿宋_GB2312" w:eastAsia="仿宋_GB2312" w:cs="仿宋_GB2312"/>
          <w:sz w:val="32"/>
          <w:szCs w:val="32"/>
          <w:lang w:val="en-US" w:eastAsia="zh-CN"/>
        </w:rPr>
        <w:t xml:space="preserve"> 公共资源交易信用评价采用量化记分制并实行动态管理、动态评价，记分采取累加。</w:t>
      </w:r>
      <w:r>
        <w:rPr>
          <w:rFonts w:hint="eastAsia" w:ascii="仿宋_GB2312" w:hAnsi="仿宋_GB2312" w:eastAsia="仿宋_GB2312" w:cs="仿宋_GB2312"/>
          <w:sz w:val="32"/>
          <w:szCs w:val="32"/>
        </w:rPr>
        <w:t>交易中心建立统一</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信用评价信息</w:t>
      </w:r>
      <w:r>
        <w:rPr>
          <w:rFonts w:hint="eastAsia" w:ascii="仿宋_GB2312" w:hAnsi="仿宋_GB2312" w:eastAsia="仿宋_GB2312" w:cs="仿宋_GB2312"/>
          <w:sz w:val="32"/>
          <w:szCs w:val="32"/>
          <w:lang w:eastAsia="zh-CN"/>
        </w:rPr>
        <w:t>系统</w:t>
      </w:r>
      <w:r>
        <w:rPr>
          <w:rFonts w:hint="eastAsia" w:ascii="仿宋_GB2312" w:hAnsi="仿宋_GB2312" w:eastAsia="仿宋_GB2312" w:cs="仿宋_GB2312"/>
          <w:sz w:val="32"/>
          <w:szCs w:val="32"/>
        </w:rPr>
        <w:t>。</w:t>
      </w:r>
    </w:p>
    <w:p>
      <w:pPr>
        <w:spacing w:line="600" w:lineRule="exact"/>
        <w:ind w:firstLine="651"/>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eastAsia="zh-CN"/>
        </w:rPr>
        <w:t>八</w:t>
      </w:r>
      <w:r>
        <w:rPr>
          <w:rFonts w:hint="eastAsia" w:ascii="仿宋_GB2312" w:hAnsi="仿宋_GB2312" w:eastAsia="仿宋_GB2312" w:cs="仿宋_GB2312"/>
          <w:sz w:val="32"/>
          <w:szCs w:val="32"/>
        </w:rPr>
        <w:t>条 交易中心</w:t>
      </w:r>
      <w:r>
        <w:rPr>
          <w:rFonts w:hint="eastAsia" w:ascii="仿宋_GB2312" w:hAnsi="仿宋_GB2312" w:eastAsia="仿宋_GB2312" w:cs="仿宋_GB2312"/>
          <w:sz w:val="32"/>
          <w:szCs w:val="32"/>
          <w:lang w:eastAsia="zh-CN"/>
        </w:rPr>
        <w:t>在信用评价工作中发现交易当事人存在违反法律法规及有关规定的</w:t>
      </w:r>
      <w:r>
        <w:rPr>
          <w:rFonts w:hint="eastAsia" w:ascii="仿宋_GB2312" w:hAnsi="仿宋_GB2312" w:eastAsia="仿宋_GB2312" w:cs="仿宋_GB2312"/>
          <w:sz w:val="32"/>
          <w:szCs w:val="32"/>
          <w:lang w:val="en-US" w:eastAsia="zh-CN"/>
        </w:rPr>
        <w:t>不规范</w:t>
      </w:r>
      <w:r>
        <w:rPr>
          <w:rFonts w:hint="eastAsia" w:ascii="仿宋_GB2312" w:hAnsi="仿宋_GB2312" w:eastAsia="仿宋_GB2312" w:cs="仿宋_GB2312"/>
          <w:sz w:val="32"/>
          <w:szCs w:val="32"/>
          <w:lang w:eastAsia="zh-CN"/>
        </w:rPr>
        <w:t>行为，应当</w:t>
      </w:r>
      <w:r>
        <w:rPr>
          <w:rFonts w:hint="eastAsia" w:ascii="仿宋_GB2312" w:hAnsi="仿宋_GB2312" w:eastAsia="仿宋_GB2312" w:cs="仿宋_GB2312"/>
          <w:sz w:val="32"/>
          <w:szCs w:val="32"/>
          <w:lang w:val="en-US" w:eastAsia="zh-CN"/>
        </w:rPr>
        <w:t>进行记录并</w:t>
      </w:r>
      <w:r>
        <w:rPr>
          <w:rFonts w:hint="eastAsia" w:ascii="仿宋_GB2312" w:hAnsi="仿宋_GB2312" w:eastAsia="仿宋_GB2312" w:cs="仿宋_GB2312"/>
          <w:sz w:val="32"/>
          <w:szCs w:val="32"/>
          <w:lang w:eastAsia="zh-CN"/>
        </w:rPr>
        <w:t>及时报送至相关行业行政监管部门，行政监管部门</w:t>
      </w:r>
      <w:r>
        <w:rPr>
          <w:rFonts w:hint="eastAsia" w:ascii="仿宋_GB2312" w:hAnsi="仿宋_GB2312" w:eastAsia="仿宋_GB2312" w:cs="仿宋_GB2312"/>
          <w:sz w:val="32"/>
          <w:szCs w:val="32"/>
          <w:lang w:val="en-US" w:eastAsia="zh-CN"/>
        </w:rPr>
        <w:t>应当</w:t>
      </w:r>
      <w:r>
        <w:rPr>
          <w:rFonts w:hint="eastAsia" w:ascii="仿宋_GB2312" w:hAnsi="仿宋_GB2312" w:eastAsia="仿宋_GB2312" w:cs="仿宋_GB2312"/>
          <w:sz w:val="32"/>
          <w:szCs w:val="32"/>
          <w:lang w:eastAsia="zh-CN"/>
        </w:rPr>
        <w:t>依法处理</w:t>
      </w:r>
      <w:r>
        <w:rPr>
          <w:rFonts w:hint="eastAsia" w:ascii="仿宋_GB2312" w:hAnsi="仿宋_GB2312" w:eastAsia="仿宋_GB2312" w:cs="仿宋_GB2312"/>
          <w:sz w:val="32"/>
          <w:szCs w:val="32"/>
          <w:lang w:val="en-US" w:eastAsia="zh-CN"/>
        </w:rPr>
        <w:t>并</w:t>
      </w:r>
      <w:r>
        <w:rPr>
          <w:rFonts w:hint="eastAsia" w:ascii="仿宋_GB2312" w:hAnsi="仿宋_GB2312" w:eastAsia="仿宋_GB2312" w:cs="仿宋_GB2312"/>
          <w:sz w:val="32"/>
          <w:szCs w:val="32"/>
          <w:lang w:eastAsia="zh-CN"/>
        </w:rPr>
        <w:t>在</w:t>
      </w:r>
      <w:r>
        <w:rPr>
          <w:rFonts w:hint="eastAsia" w:ascii="仿宋_GB2312" w:hAnsi="仿宋_GB2312" w:eastAsia="仿宋_GB2312" w:cs="仿宋_GB2312"/>
          <w:color w:val="auto"/>
          <w:sz w:val="32"/>
          <w:szCs w:val="32"/>
          <w:highlight w:val="none"/>
          <w:lang w:eastAsia="zh-CN"/>
        </w:rPr>
        <w:t>黑龙江省公共资源交易网（黑龙江省政府采购网）</w:t>
      </w:r>
      <w:r>
        <w:rPr>
          <w:rFonts w:hint="eastAsia" w:ascii="仿宋_GB2312" w:hAnsi="仿宋_GB2312" w:eastAsia="仿宋_GB2312" w:cs="仿宋_GB2312"/>
          <w:color w:val="auto"/>
          <w:sz w:val="32"/>
          <w:szCs w:val="32"/>
          <w:highlight w:val="none"/>
          <w:lang w:val="en-US" w:eastAsia="zh-CN"/>
        </w:rPr>
        <w:t>进行</w:t>
      </w:r>
      <w:r>
        <w:rPr>
          <w:rFonts w:hint="eastAsia" w:ascii="仿宋_GB2312" w:hAnsi="仿宋_GB2312" w:eastAsia="仿宋_GB2312" w:cs="仿宋_GB2312"/>
          <w:sz w:val="32"/>
          <w:szCs w:val="32"/>
        </w:rPr>
        <w:t>公示。公示内容为交易当事人名称、</w:t>
      </w:r>
      <w:r>
        <w:rPr>
          <w:rFonts w:hint="eastAsia" w:ascii="仿宋_GB2312" w:hAnsi="仿宋_GB2312" w:eastAsia="仿宋_GB2312" w:cs="仿宋_GB2312"/>
          <w:sz w:val="32"/>
          <w:szCs w:val="32"/>
          <w:lang w:eastAsia="zh-CN"/>
        </w:rPr>
        <w:t>交易</w:t>
      </w:r>
      <w:r>
        <w:rPr>
          <w:rFonts w:hint="eastAsia" w:ascii="仿宋_GB2312" w:hAnsi="仿宋_GB2312" w:eastAsia="仿宋_GB2312" w:cs="仿宋_GB2312"/>
          <w:sz w:val="32"/>
          <w:szCs w:val="32"/>
        </w:rPr>
        <w:t>项目名称、</w:t>
      </w:r>
      <w:r>
        <w:rPr>
          <w:rFonts w:hint="eastAsia" w:ascii="仿宋_GB2312" w:hAnsi="仿宋_GB2312" w:eastAsia="仿宋_GB2312" w:cs="仿宋_GB2312"/>
          <w:sz w:val="32"/>
          <w:szCs w:val="32"/>
          <w:lang w:eastAsia="zh-CN"/>
        </w:rPr>
        <w:t>不规范行为的内容</w:t>
      </w:r>
      <w:r>
        <w:rPr>
          <w:rFonts w:hint="eastAsia" w:ascii="仿宋_GB2312" w:hAnsi="仿宋_GB2312" w:eastAsia="仿宋_GB2312" w:cs="仿宋_GB2312"/>
          <w:sz w:val="32"/>
          <w:szCs w:val="32"/>
        </w:rPr>
        <w:t>。公示期为</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个工作日，经公示无异议，</w:t>
      </w:r>
      <w:r>
        <w:rPr>
          <w:rFonts w:hint="eastAsia" w:ascii="仿宋_GB2312" w:hAnsi="仿宋_GB2312" w:eastAsia="仿宋_GB2312" w:cs="仿宋_GB2312"/>
          <w:sz w:val="32"/>
          <w:szCs w:val="32"/>
          <w:lang w:eastAsia="zh-CN"/>
        </w:rPr>
        <w:t>交易中心将其</w:t>
      </w:r>
      <w:r>
        <w:rPr>
          <w:rFonts w:hint="eastAsia" w:ascii="仿宋_GB2312" w:hAnsi="仿宋_GB2312" w:eastAsia="仿宋_GB2312" w:cs="仿宋_GB2312"/>
          <w:sz w:val="32"/>
          <w:szCs w:val="32"/>
        </w:rPr>
        <w:t>计入信用评价信息</w:t>
      </w:r>
      <w:r>
        <w:rPr>
          <w:rFonts w:hint="eastAsia" w:ascii="仿宋_GB2312" w:hAnsi="仿宋_GB2312" w:eastAsia="仿宋_GB2312" w:cs="仿宋_GB2312"/>
          <w:sz w:val="32"/>
          <w:szCs w:val="32"/>
          <w:lang w:eastAsia="zh-CN"/>
        </w:rPr>
        <w:t>系统</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eastAsia="zh-CN"/>
        </w:rPr>
        <w:t>九</w:t>
      </w:r>
      <w:r>
        <w:rPr>
          <w:rFonts w:hint="eastAsia" w:ascii="仿宋_GB2312" w:hAnsi="仿宋_GB2312" w:eastAsia="仿宋_GB2312" w:cs="仿宋_GB2312"/>
          <w:sz w:val="32"/>
          <w:szCs w:val="32"/>
        </w:rPr>
        <w:t>条 </w:t>
      </w:r>
      <w:r>
        <w:rPr>
          <w:rFonts w:hint="eastAsia" w:ascii="仿宋_GB2312" w:hAnsi="仿宋_GB2312" w:eastAsia="仿宋_GB2312" w:cs="仿宋_GB2312"/>
          <w:sz w:val="32"/>
          <w:szCs w:val="32"/>
          <w:lang w:eastAsia="zh-CN"/>
        </w:rPr>
        <w:t>中介代理和服务机构</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项目</w:t>
      </w:r>
      <w:r>
        <w:rPr>
          <w:rFonts w:hint="eastAsia" w:ascii="仿宋_GB2312" w:hAnsi="仿宋_GB2312" w:eastAsia="仿宋_GB2312" w:cs="仿宋_GB2312"/>
          <w:sz w:val="32"/>
          <w:szCs w:val="32"/>
        </w:rPr>
        <w:t>响应方、评标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评审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专家</w:t>
      </w:r>
      <w:r>
        <w:rPr>
          <w:rFonts w:hint="eastAsia" w:ascii="仿宋_GB2312" w:hAnsi="仿宋_GB2312" w:eastAsia="仿宋_GB2312" w:cs="仿宋_GB2312"/>
          <w:b w:val="0"/>
          <w:bCs w:val="0"/>
          <w:color w:val="auto"/>
          <w:sz w:val="32"/>
          <w:szCs w:val="32"/>
          <w:lang w:val="en-US" w:eastAsia="zh-CN"/>
        </w:rPr>
        <w:t>对</w:t>
      </w:r>
      <w:r>
        <w:rPr>
          <w:rFonts w:hint="eastAsia" w:ascii="仿宋_GB2312" w:hAnsi="仿宋_GB2312" w:eastAsia="仿宋_GB2312" w:cs="仿宋_GB2312"/>
          <w:color w:val="auto"/>
          <w:sz w:val="32"/>
          <w:szCs w:val="32"/>
          <w:lang w:eastAsia="zh-CN"/>
        </w:rPr>
        <w:t>公布的</w:t>
      </w:r>
      <w:r>
        <w:rPr>
          <w:rFonts w:hint="eastAsia" w:ascii="仿宋_GB2312" w:hAnsi="仿宋_GB2312" w:eastAsia="仿宋_GB2312" w:cs="仿宋_GB2312"/>
          <w:sz w:val="32"/>
          <w:szCs w:val="32"/>
        </w:rPr>
        <w:t>不规范行为</w:t>
      </w:r>
      <w:r>
        <w:rPr>
          <w:rFonts w:hint="eastAsia" w:ascii="仿宋_GB2312" w:hAnsi="仿宋_GB2312" w:eastAsia="仿宋_GB2312" w:cs="仿宋_GB2312"/>
          <w:b w:val="0"/>
          <w:bCs w:val="0"/>
          <w:color w:val="auto"/>
          <w:sz w:val="32"/>
          <w:szCs w:val="32"/>
          <w:lang w:val="en-US" w:eastAsia="zh-CN"/>
        </w:rPr>
        <w:t>有异议的，</w:t>
      </w:r>
      <w:r>
        <w:rPr>
          <w:rFonts w:hint="eastAsia" w:ascii="仿宋_GB2312" w:hAnsi="仿宋_GB2312" w:eastAsia="仿宋_GB2312" w:cs="仿宋_GB2312"/>
          <w:sz w:val="32"/>
          <w:szCs w:val="32"/>
        </w:rPr>
        <w:t>应当在公示开始之日起</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个工作日内以书面形式向</w:t>
      </w:r>
      <w:r>
        <w:rPr>
          <w:rFonts w:hint="eastAsia" w:ascii="仿宋_GB2312" w:hAnsi="仿宋_GB2312" w:eastAsia="仿宋_GB2312" w:cs="仿宋_GB2312"/>
          <w:sz w:val="32"/>
          <w:szCs w:val="32"/>
          <w:lang w:eastAsia="zh-CN"/>
        </w:rPr>
        <w:t>有关行政监管部门</w:t>
      </w:r>
      <w:r>
        <w:rPr>
          <w:rFonts w:hint="eastAsia" w:ascii="仿宋_GB2312" w:hAnsi="仿宋_GB2312" w:eastAsia="仿宋_GB2312" w:cs="仿宋_GB2312"/>
          <w:sz w:val="32"/>
          <w:szCs w:val="32"/>
        </w:rPr>
        <w:t>提出异议</w:t>
      </w:r>
      <w:r>
        <w:rPr>
          <w:rFonts w:hint="eastAsia" w:ascii="仿宋_GB2312" w:hAnsi="仿宋_GB2312" w:eastAsia="仿宋_GB2312" w:cs="仿宋_GB2312"/>
          <w:sz w:val="32"/>
          <w:szCs w:val="32"/>
          <w:lang w:eastAsia="zh-CN"/>
        </w:rPr>
        <w:t>申请</w:t>
      </w:r>
      <w:r>
        <w:rPr>
          <w:rFonts w:hint="eastAsia" w:ascii="仿宋_GB2312" w:hAnsi="仿宋_GB2312" w:eastAsia="仿宋_GB2312" w:cs="仿宋_GB2312"/>
          <w:sz w:val="32"/>
          <w:szCs w:val="32"/>
        </w:rPr>
        <w:t>，</w:t>
      </w:r>
      <w:r>
        <w:rPr>
          <w:rFonts w:hint="eastAsia" w:ascii="仿宋_GB2312" w:hAnsi="仿宋_GB2312" w:eastAsia="仿宋_GB2312" w:cs="仿宋_GB2312"/>
          <w:b w:val="0"/>
          <w:bCs w:val="0"/>
          <w:color w:val="auto"/>
          <w:sz w:val="32"/>
          <w:szCs w:val="32"/>
          <w:lang w:val="en-US" w:eastAsia="zh-CN"/>
        </w:rPr>
        <w:t>异议人</w:t>
      </w:r>
      <w:r>
        <w:rPr>
          <w:rFonts w:hint="eastAsia" w:ascii="仿宋_GB2312" w:hAnsi="仿宋_GB2312" w:eastAsia="仿宋_GB2312" w:cs="仿宋_GB2312"/>
          <w:b w:val="0"/>
          <w:bCs w:val="0"/>
          <w:color w:val="auto"/>
          <w:sz w:val="32"/>
          <w:szCs w:val="32"/>
          <w:highlight w:val="none"/>
          <w:lang w:val="en-US" w:eastAsia="zh-CN"/>
        </w:rPr>
        <w:t>应当提供真实身份、联系方式、具体事实、理由及证据</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b w:val="0"/>
          <w:bCs w:val="0"/>
          <w:color w:val="auto"/>
          <w:sz w:val="32"/>
          <w:szCs w:val="32"/>
          <w:lang w:val="en-US" w:eastAsia="zh-CN"/>
        </w:rPr>
        <w:t>不符合上述规定的异议申请，不予受理。</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第十条</w:t>
      </w:r>
      <w:r>
        <w:rPr>
          <w:rFonts w:hint="eastAsia" w:ascii="仿宋_GB2312" w:hAnsi="仿宋_GB2312" w:eastAsia="仿宋_GB2312" w:cs="仿宋_GB2312"/>
          <w:b w:val="0"/>
          <w:bCs w:val="0"/>
          <w:color w:val="auto"/>
          <w:sz w:val="32"/>
          <w:szCs w:val="32"/>
          <w:lang w:val="en-US" w:eastAsia="zh-CN"/>
        </w:rPr>
        <w:t xml:space="preserve"> </w:t>
      </w:r>
      <w:r>
        <w:rPr>
          <w:rFonts w:hint="eastAsia" w:ascii="仿宋_GB2312" w:hAnsi="仿宋_GB2312" w:eastAsia="仿宋_GB2312" w:cs="仿宋_GB2312"/>
          <w:sz w:val="32"/>
          <w:szCs w:val="32"/>
          <w:lang w:eastAsia="zh-CN"/>
        </w:rPr>
        <w:t>行政监管部门应当</w:t>
      </w:r>
      <w:r>
        <w:rPr>
          <w:rFonts w:hint="eastAsia" w:ascii="仿宋_GB2312" w:hAnsi="仿宋_GB2312" w:eastAsia="仿宋_GB2312" w:cs="仿宋_GB2312"/>
          <w:b w:val="0"/>
          <w:bCs w:val="0"/>
          <w:color w:val="auto"/>
          <w:sz w:val="32"/>
          <w:szCs w:val="32"/>
          <w:lang w:val="en-US" w:eastAsia="zh-CN"/>
        </w:rPr>
        <w:t>自受理异议申请之日起5个工作日内作出书面处理意见，异议受理期间，暂不公布异议人评价结果，行业行政监管部门对异议申请作出处理意见后，行业行政监管部门根据处理意见重新评分，交易中心对评价分值进行记录并公布评价结果。</w:t>
      </w:r>
    </w:p>
    <w:p>
      <w:pPr>
        <w:spacing w:line="600" w:lineRule="exact"/>
        <w:ind w:firstLine="651"/>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eastAsia="zh-CN"/>
        </w:rPr>
        <w:t>十一</w:t>
      </w:r>
      <w:r>
        <w:rPr>
          <w:rFonts w:hint="eastAsia" w:ascii="仿宋_GB2312" w:hAnsi="仿宋_GB2312" w:eastAsia="仿宋_GB2312" w:cs="仿宋_GB2312"/>
          <w:sz w:val="32"/>
          <w:szCs w:val="32"/>
        </w:rPr>
        <w:t>条 </w:t>
      </w:r>
      <w:r>
        <w:rPr>
          <w:rFonts w:hint="eastAsia" w:ascii="仿宋_GB2312" w:hAnsi="仿宋_GB2312" w:eastAsia="仿宋_GB2312" w:cs="仿宋_GB2312"/>
          <w:sz w:val="32"/>
          <w:szCs w:val="32"/>
          <w:lang w:eastAsia="zh-CN"/>
        </w:rPr>
        <w:t>交易中心负责</w:t>
      </w:r>
      <w:r>
        <w:rPr>
          <w:rFonts w:hint="eastAsia" w:ascii="仿宋_GB2312" w:hAnsi="仿宋_GB2312" w:eastAsia="仿宋_GB2312" w:cs="仿宋_GB2312"/>
          <w:sz w:val="32"/>
          <w:szCs w:val="32"/>
        </w:rPr>
        <w:t>对</w:t>
      </w:r>
      <w:r>
        <w:rPr>
          <w:rFonts w:hint="eastAsia" w:ascii="仿宋_GB2312" w:hAnsi="仿宋_GB2312" w:eastAsia="仿宋_GB2312" w:cs="仿宋_GB2312"/>
          <w:sz w:val="32"/>
          <w:szCs w:val="32"/>
          <w:lang w:eastAsia="zh-CN"/>
        </w:rPr>
        <w:t>交易当事人的</w:t>
      </w:r>
      <w:r>
        <w:rPr>
          <w:rFonts w:hint="eastAsia" w:ascii="仿宋_GB2312" w:hAnsi="仿宋_GB2312" w:eastAsia="仿宋_GB2312" w:cs="仿宋_GB2312"/>
          <w:sz w:val="32"/>
          <w:szCs w:val="32"/>
        </w:rPr>
        <w:t>信用评价分值进行</w:t>
      </w:r>
      <w:r>
        <w:rPr>
          <w:rFonts w:hint="eastAsia" w:ascii="仿宋_GB2312" w:hAnsi="仿宋_GB2312" w:eastAsia="仿宋_GB2312" w:cs="仿宋_GB2312"/>
          <w:sz w:val="32"/>
          <w:szCs w:val="32"/>
          <w:lang w:val="en-US" w:eastAsia="zh-CN"/>
        </w:rPr>
        <w:t>记录和</w:t>
      </w:r>
      <w:r>
        <w:rPr>
          <w:rFonts w:hint="eastAsia" w:ascii="仿宋_GB2312" w:hAnsi="仿宋_GB2312" w:eastAsia="仿宋_GB2312" w:cs="仿宋_GB2312"/>
          <w:sz w:val="32"/>
          <w:szCs w:val="32"/>
        </w:rPr>
        <w:t>汇总，</w:t>
      </w:r>
      <w:r>
        <w:rPr>
          <w:rFonts w:hint="eastAsia" w:ascii="仿宋_GB2312" w:hAnsi="仿宋_GB2312" w:eastAsia="仿宋_GB2312" w:cs="仿宋_GB2312"/>
          <w:sz w:val="32"/>
          <w:szCs w:val="32"/>
          <w:lang w:eastAsia="zh-CN"/>
        </w:rPr>
        <w:t>并</w:t>
      </w:r>
      <w:r>
        <w:rPr>
          <w:rFonts w:hint="eastAsia" w:ascii="仿宋_GB2312" w:hAnsi="仿宋_GB2312" w:eastAsia="仿宋_GB2312" w:cs="仿宋_GB2312"/>
          <w:sz w:val="32"/>
          <w:szCs w:val="32"/>
        </w:rPr>
        <w:t>将信用评价情况</w:t>
      </w:r>
      <w:r>
        <w:rPr>
          <w:rFonts w:hint="eastAsia" w:ascii="仿宋_GB2312" w:hAnsi="仿宋_GB2312" w:eastAsia="仿宋_GB2312" w:cs="仿宋_GB2312"/>
          <w:sz w:val="32"/>
          <w:szCs w:val="32"/>
          <w:lang w:eastAsia="zh-CN"/>
        </w:rPr>
        <w:t>定期报送至市营商局</w:t>
      </w:r>
      <w:r>
        <w:rPr>
          <w:rFonts w:hint="eastAsia" w:ascii="仿宋_GB2312" w:hAnsi="仿宋_GB2312" w:eastAsia="仿宋_GB2312" w:cs="仿宋_GB2312"/>
          <w:sz w:val="32"/>
          <w:szCs w:val="32"/>
        </w:rPr>
        <w:t>。</w:t>
      </w:r>
    </w:p>
    <w:p>
      <w:pPr>
        <w:spacing w:line="600" w:lineRule="exact"/>
        <w:ind w:firstLine="652"/>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第十二条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公共资源交易当事人信用评价</w:t>
      </w:r>
      <w:r>
        <w:rPr>
          <w:rFonts w:hint="eastAsia" w:ascii="仿宋_GB2312" w:hAnsi="仿宋_GB2312" w:eastAsia="仿宋_GB2312" w:cs="仿宋_GB2312"/>
          <w:sz w:val="32"/>
          <w:szCs w:val="32"/>
          <w:lang w:eastAsia="zh-CN"/>
        </w:rPr>
        <w:t>采用百分制，信用评价</w:t>
      </w:r>
      <w:r>
        <w:rPr>
          <w:rFonts w:hint="eastAsia" w:ascii="仿宋_GB2312" w:hAnsi="仿宋_GB2312" w:eastAsia="仿宋_GB2312" w:cs="仿宋_GB2312"/>
          <w:sz w:val="32"/>
          <w:szCs w:val="32"/>
        </w:rPr>
        <w:t>基础分值为100分。信用评价分值的计算方法为信用评价基础分值</w:t>
      </w:r>
      <w:r>
        <w:rPr>
          <w:rFonts w:hint="eastAsia" w:ascii="仿宋_GB2312" w:hAnsi="仿宋_GB2312" w:eastAsia="仿宋_GB2312" w:cs="仿宋_GB2312"/>
          <w:sz w:val="32"/>
          <w:szCs w:val="32"/>
          <w:lang w:eastAsia="zh-CN"/>
        </w:rPr>
        <w:t>减去影响信用评价行为的对应分值。</w:t>
      </w:r>
    </w:p>
    <w:p>
      <w:pPr>
        <w:spacing w:line="600" w:lineRule="exact"/>
        <w:ind w:firstLine="65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eastAsia="zh-CN"/>
        </w:rPr>
        <w:t>十三</w:t>
      </w:r>
      <w:r>
        <w:rPr>
          <w:rFonts w:hint="eastAsia" w:ascii="仿宋_GB2312" w:hAnsi="仿宋_GB2312" w:eastAsia="仿宋_GB2312" w:cs="仿宋_GB2312"/>
          <w:sz w:val="32"/>
          <w:szCs w:val="32"/>
        </w:rPr>
        <w:t>条 </w:t>
      </w:r>
      <w:r>
        <w:rPr>
          <w:rFonts w:hint="eastAsia" w:ascii="仿宋_GB2312" w:hAnsi="仿宋_GB2312" w:eastAsia="仿宋_GB2312" w:cs="仿宋_GB2312"/>
          <w:sz w:val="32"/>
          <w:szCs w:val="32"/>
          <w:lang w:eastAsia="zh-CN"/>
        </w:rPr>
        <w:t>公</w:t>
      </w:r>
      <w:r>
        <w:rPr>
          <w:rFonts w:hint="eastAsia" w:ascii="仿宋_GB2312" w:hAnsi="仿宋_GB2312" w:eastAsia="仿宋_GB2312" w:cs="仿宋_GB2312"/>
          <w:sz w:val="32"/>
          <w:szCs w:val="32"/>
        </w:rPr>
        <w:t>共资源交易当事人首次进入</w:t>
      </w:r>
      <w:r>
        <w:rPr>
          <w:rFonts w:hint="eastAsia" w:ascii="仿宋_GB2312" w:hAnsi="仿宋_GB2312" w:eastAsia="仿宋_GB2312" w:cs="仿宋_GB2312"/>
          <w:sz w:val="32"/>
          <w:szCs w:val="32"/>
          <w:lang w:eastAsia="zh-CN"/>
        </w:rPr>
        <w:t>牡丹江市公共资源交易平台进行</w:t>
      </w:r>
      <w:r>
        <w:rPr>
          <w:rFonts w:hint="eastAsia" w:ascii="仿宋_GB2312" w:hAnsi="仿宋_GB2312" w:eastAsia="仿宋_GB2312" w:cs="仿宋_GB2312"/>
          <w:sz w:val="32"/>
          <w:szCs w:val="32"/>
        </w:rPr>
        <w:t>交易时，</w:t>
      </w:r>
      <w:r>
        <w:rPr>
          <w:rFonts w:hint="eastAsia" w:ascii="仿宋_GB2312" w:hAnsi="仿宋_GB2312" w:eastAsia="仿宋_GB2312" w:cs="仿宋_GB2312"/>
          <w:sz w:val="32"/>
          <w:szCs w:val="32"/>
          <w:lang w:eastAsia="zh-CN"/>
        </w:rPr>
        <w:t>应当提供无不良行为承诺书，未归集到其他信用信息的情形下，将</w:t>
      </w:r>
      <w:r>
        <w:rPr>
          <w:rFonts w:hint="eastAsia" w:ascii="仿宋_GB2312" w:hAnsi="仿宋_GB2312" w:eastAsia="仿宋_GB2312" w:cs="仿宋_GB2312"/>
          <w:sz w:val="32"/>
          <w:szCs w:val="32"/>
        </w:rPr>
        <w:t>其</w:t>
      </w:r>
      <w:r>
        <w:rPr>
          <w:rFonts w:hint="eastAsia" w:ascii="仿宋_GB2312" w:hAnsi="仿宋_GB2312" w:eastAsia="仿宋_GB2312" w:cs="仿宋_GB2312"/>
          <w:sz w:val="32"/>
          <w:szCs w:val="32"/>
          <w:lang w:eastAsia="zh-CN"/>
        </w:rPr>
        <w:t>信用评价</w:t>
      </w:r>
      <w:r>
        <w:rPr>
          <w:rFonts w:hint="eastAsia" w:ascii="仿宋_GB2312" w:hAnsi="仿宋_GB2312" w:eastAsia="仿宋_GB2312" w:cs="仿宋_GB2312"/>
          <w:sz w:val="32"/>
          <w:szCs w:val="32"/>
        </w:rPr>
        <w:t>分值</w:t>
      </w:r>
      <w:r>
        <w:rPr>
          <w:rFonts w:hint="eastAsia" w:ascii="仿宋_GB2312" w:hAnsi="仿宋_GB2312" w:eastAsia="仿宋_GB2312" w:cs="仿宋_GB2312"/>
          <w:sz w:val="32"/>
          <w:szCs w:val="32"/>
          <w:lang w:eastAsia="zh-CN"/>
        </w:rPr>
        <w:t>设定为基础</w:t>
      </w:r>
      <w:r>
        <w:rPr>
          <w:rFonts w:hint="eastAsia" w:ascii="仿宋_GB2312" w:hAnsi="仿宋_GB2312" w:eastAsia="仿宋_GB2312" w:cs="仿宋_GB2312"/>
          <w:sz w:val="32"/>
          <w:szCs w:val="32"/>
        </w:rPr>
        <w:t>分。</w:t>
      </w:r>
    </w:p>
    <w:p>
      <w:pPr>
        <w:spacing w:line="600" w:lineRule="exact"/>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第十</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条 对符合国家有关失信联合惩戒名单中禁止参与公共资源交易活动惩戒措施的公共资源交易当事人，</w:t>
      </w:r>
      <w:r>
        <w:rPr>
          <w:rFonts w:hint="eastAsia" w:ascii="仿宋_GB2312" w:hAnsi="仿宋_GB2312" w:eastAsia="仿宋_GB2312" w:cs="仿宋_GB2312"/>
          <w:sz w:val="32"/>
          <w:szCs w:val="32"/>
          <w:lang w:eastAsia="zh-CN"/>
        </w:rPr>
        <w:t>不得</w:t>
      </w:r>
      <w:r>
        <w:rPr>
          <w:rFonts w:hint="eastAsia" w:ascii="仿宋_GB2312" w:hAnsi="仿宋_GB2312" w:eastAsia="仿宋_GB2312" w:cs="仿宋_GB2312"/>
          <w:sz w:val="32"/>
          <w:szCs w:val="32"/>
        </w:rPr>
        <w:t>参与所涉领域的公共资源交易活动</w:t>
      </w:r>
      <w:r>
        <w:rPr>
          <w:rFonts w:hint="eastAsia" w:ascii="仿宋_GB2312" w:hAnsi="仿宋_GB2312" w:eastAsia="仿宋_GB2312" w:cs="仿宋_GB2312"/>
          <w:sz w:val="32"/>
          <w:szCs w:val="32"/>
          <w:lang w:eastAsia="zh-CN"/>
        </w:rPr>
        <w:t>。</w:t>
      </w:r>
    </w:p>
    <w:p>
      <w:pPr>
        <w:spacing w:line="600" w:lineRule="exact"/>
        <w:ind w:firstLine="65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w:t>
      </w: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 xml:space="preserve">条 </w:t>
      </w:r>
      <w:r>
        <w:rPr>
          <w:rFonts w:hint="eastAsia" w:ascii="仿宋_GB2312" w:hAnsi="仿宋_GB2312" w:eastAsia="仿宋_GB2312" w:cs="仿宋_GB2312"/>
          <w:sz w:val="32"/>
          <w:szCs w:val="32"/>
          <w:lang w:eastAsia="zh-CN"/>
        </w:rPr>
        <w:t>公</w:t>
      </w:r>
      <w:r>
        <w:rPr>
          <w:rFonts w:hint="eastAsia" w:ascii="仿宋_GB2312" w:hAnsi="仿宋_GB2312" w:eastAsia="仿宋_GB2312" w:cs="仿宋_GB2312"/>
          <w:sz w:val="32"/>
          <w:szCs w:val="32"/>
        </w:rPr>
        <w:t>共资源交易当事人的信用评价等级划分为A、</w:t>
      </w:r>
      <w:r>
        <w:rPr>
          <w:rFonts w:hint="eastAsia" w:ascii="仿宋_GB2312" w:hAnsi="仿宋_GB2312" w:eastAsia="仿宋_GB2312" w:cs="仿宋_GB2312"/>
          <w:sz w:val="32"/>
          <w:szCs w:val="32"/>
          <w:lang w:val="en-US" w:eastAsia="zh-CN"/>
        </w:rPr>
        <w:t>B</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C</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D、E五</w:t>
      </w:r>
      <w:r>
        <w:rPr>
          <w:rFonts w:hint="eastAsia" w:ascii="仿宋_GB2312" w:hAnsi="仿宋_GB2312" w:eastAsia="仿宋_GB2312" w:cs="仿宋_GB2312"/>
          <w:sz w:val="32"/>
          <w:szCs w:val="32"/>
        </w:rPr>
        <w:t>个等级。</w:t>
      </w:r>
    </w:p>
    <w:p>
      <w:pPr>
        <w:spacing w:line="600" w:lineRule="exact"/>
        <w:ind w:firstLine="65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eastAsia="zh-CN"/>
        </w:rPr>
        <w:t>动态评价</w:t>
      </w:r>
      <w:r>
        <w:rPr>
          <w:rFonts w:hint="eastAsia" w:ascii="仿宋_GB2312" w:hAnsi="仿宋_GB2312" w:eastAsia="仿宋_GB2312" w:cs="仿宋_GB2312"/>
          <w:sz w:val="32"/>
          <w:szCs w:val="32"/>
        </w:rPr>
        <w:t>得分</w:t>
      </w:r>
      <w:r>
        <w:rPr>
          <w:rFonts w:hint="eastAsia" w:ascii="仿宋_GB2312" w:hAnsi="仿宋_GB2312" w:eastAsia="仿宋_GB2312" w:cs="仿宋_GB2312"/>
          <w:sz w:val="32"/>
          <w:szCs w:val="32"/>
          <w:lang w:val="en-US" w:eastAsia="zh-CN"/>
        </w:rPr>
        <w:t>为100</w:t>
      </w:r>
      <w:r>
        <w:rPr>
          <w:rFonts w:hint="eastAsia" w:ascii="仿宋_GB2312" w:hAnsi="仿宋_GB2312" w:eastAsia="仿宋_GB2312" w:cs="仿宋_GB2312"/>
          <w:sz w:val="32"/>
          <w:szCs w:val="32"/>
        </w:rPr>
        <w:t>分的列为</w:t>
      </w:r>
      <w:r>
        <w:rPr>
          <w:rFonts w:hint="eastAsia" w:ascii="仿宋_GB2312" w:hAnsi="仿宋_GB2312" w:eastAsia="仿宋_GB2312" w:cs="仿宋_GB2312"/>
          <w:sz w:val="32"/>
          <w:szCs w:val="32"/>
          <w:lang w:val="en-US" w:eastAsia="zh-CN"/>
        </w:rPr>
        <w:t>A</w:t>
      </w:r>
      <w:r>
        <w:rPr>
          <w:rFonts w:hint="eastAsia" w:ascii="仿宋_GB2312" w:hAnsi="仿宋_GB2312" w:eastAsia="仿宋_GB2312" w:cs="仿宋_GB2312"/>
          <w:sz w:val="32"/>
          <w:szCs w:val="32"/>
        </w:rPr>
        <w:t>级；</w:t>
      </w:r>
    </w:p>
    <w:p>
      <w:pPr>
        <w:spacing w:line="600" w:lineRule="exact"/>
        <w:ind w:firstLine="652"/>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eastAsia="zh-CN"/>
        </w:rPr>
        <w:t>动态评价</w:t>
      </w:r>
      <w:r>
        <w:rPr>
          <w:rFonts w:hint="eastAsia" w:ascii="仿宋_GB2312" w:hAnsi="仿宋_GB2312" w:eastAsia="仿宋_GB2312" w:cs="仿宋_GB2312"/>
          <w:sz w:val="32"/>
          <w:szCs w:val="32"/>
        </w:rPr>
        <w:t>得分在</w:t>
      </w:r>
      <w:r>
        <w:rPr>
          <w:rFonts w:hint="eastAsia" w:ascii="仿宋_GB2312" w:hAnsi="仿宋_GB2312" w:eastAsia="仿宋_GB2312" w:cs="仿宋_GB2312"/>
          <w:sz w:val="32"/>
          <w:szCs w:val="32"/>
          <w:lang w:val="en-US" w:eastAsia="zh-CN"/>
        </w:rPr>
        <w:t>85</w:t>
      </w:r>
      <w:r>
        <w:rPr>
          <w:rFonts w:hint="eastAsia" w:ascii="仿宋_GB2312" w:hAnsi="仿宋_GB2312" w:eastAsia="仿宋_GB2312" w:cs="仿宋_GB2312"/>
          <w:sz w:val="32"/>
          <w:szCs w:val="32"/>
        </w:rPr>
        <w:t>分以上（含</w:t>
      </w:r>
      <w:r>
        <w:rPr>
          <w:rFonts w:hint="eastAsia" w:ascii="仿宋_GB2312" w:hAnsi="仿宋_GB2312" w:eastAsia="仿宋_GB2312" w:cs="仿宋_GB2312"/>
          <w:sz w:val="32"/>
          <w:szCs w:val="32"/>
          <w:lang w:val="en-US" w:eastAsia="zh-CN"/>
        </w:rPr>
        <w:t>85</w:t>
      </w:r>
      <w:r>
        <w:rPr>
          <w:rFonts w:hint="eastAsia" w:ascii="仿宋_GB2312" w:hAnsi="仿宋_GB2312" w:eastAsia="仿宋_GB2312" w:cs="仿宋_GB2312"/>
          <w:sz w:val="32"/>
          <w:szCs w:val="32"/>
        </w:rPr>
        <w:t>分）</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分以下的列为</w:t>
      </w:r>
      <w:r>
        <w:rPr>
          <w:rFonts w:hint="eastAsia" w:ascii="仿宋_GB2312" w:hAnsi="仿宋_GB2312" w:eastAsia="仿宋_GB2312" w:cs="仿宋_GB2312"/>
          <w:sz w:val="32"/>
          <w:szCs w:val="32"/>
          <w:lang w:val="en-US" w:eastAsia="zh-CN"/>
        </w:rPr>
        <w:t>B</w:t>
      </w:r>
      <w:r>
        <w:rPr>
          <w:rFonts w:hint="eastAsia" w:ascii="仿宋_GB2312" w:hAnsi="仿宋_GB2312" w:eastAsia="仿宋_GB2312" w:cs="仿宋_GB2312"/>
          <w:sz w:val="32"/>
          <w:szCs w:val="32"/>
        </w:rPr>
        <w:t>级</w:t>
      </w:r>
      <w:r>
        <w:rPr>
          <w:rFonts w:hint="eastAsia" w:ascii="仿宋_GB2312" w:hAnsi="仿宋_GB2312" w:eastAsia="仿宋_GB2312" w:cs="仿宋_GB2312"/>
          <w:sz w:val="32"/>
          <w:szCs w:val="32"/>
          <w:lang w:eastAsia="zh-CN"/>
        </w:rPr>
        <w:t>；</w:t>
      </w:r>
    </w:p>
    <w:p>
      <w:pPr>
        <w:spacing w:line="600" w:lineRule="exact"/>
        <w:ind w:firstLine="65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w:t>
      </w:r>
      <w:r>
        <w:rPr>
          <w:rFonts w:hint="eastAsia" w:ascii="仿宋_GB2312" w:hAnsi="仿宋_GB2312" w:eastAsia="仿宋_GB2312" w:cs="仿宋_GB2312"/>
          <w:sz w:val="32"/>
          <w:szCs w:val="32"/>
          <w:lang w:eastAsia="zh-CN"/>
        </w:rPr>
        <w:t>动态评价</w:t>
      </w:r>
      <w:r>
        <w:rPr>
          <w:rFonts w:hint="eastAsia" w:ascii="仿宋_GB2312" w:hAnsi="仿宋_GB2312" w:eastAsia="仿宋_GB2312" w:cs="仿宋_GB2312"/>
          <w:sz w:val="32"/>
          <w:szCs w:val="32"/>
        </w:rPr>
        <w:t>得分在</w:t>
      </w:r>
      <w:r>
        <w:rPr>
          <w:rFonts w:hint="eastAsia" w:ascii="仿宋_GB2312" w:hAnsi="仿宋_GB2312" w:eastAsia="仿宋_GB2312" w:cs="仿宋_GB2312"/>
          <w:sz w:val="32"/>
          <w:szCs w:val="32"/>
          <w:lang w:val="en-US" w:eastAsia="zh-CN"/>
        </w:rPr>
        <w:t>75</w:t>
      </w:r>
      <w:r>
        <w:rPr>
          <w:rFonts w:hint="eastAsia" w:ascii="仿宋_GB2312" w:hAnsi="仿宋_GB2312" w:eastAsia="仿宋_GB2312" w:cs="仿宋_GB2312"/>
          <w:sz w:val="32"/>
          <w:szCs w:val="32"/>
        </w:rPr>
        <w:t>分以上（含</w:t>
      </w:r>
      <w:r>
        <w:rPr>
          <w:rFonts w:hint="eastAsia" w:ascii="仿宋_GB2312" w:hAnsi="仿宋_GB2312" w:eastAsia="仿宋_GB2312" w:cs="仿宋_GB2312"/>
          <w:sz w:val="32"/>
          <w:szCs w:val="32"/>
          <w:lang w:val="en-US" w:eastAsia="zh-CN"/>
        </w:rPr>
        <w:t>75</w:t>
      </w:r>
      <w:r>
        <w:rPr>
          <w:rFonts w:hint="eastAsia" w:ascii="仿宋_GB2312" w:hAnsi="仿宋_GB2312" w:eastAsia="仿宋_GB2312" w:cs="仿宋_GB2312"/>
          <w:sz w:val="32"/>
          <w:szCs w:val="32"/>
        </w:rPr>
        <w:t>分）</w:t>
      </w:r>
      <w:r>
        <w:rPr>
          <w:rFonts w:hint="eastAsia" w:ascii="仿宋_GB2312" w:hAnsi="仿宋_GB2312" w:eastAsia="仿宋_GB2312" w:cs="仿宋_GB2312"/>
          <w:sz w:val="32"/>
          <w:szCs w:val="32"/>
          <w:lang w:val="en-US" w:eastAsia="zh-CN"/>
        </w:rPr>
        <w:t>85</w:t>
      </w:r>
      <w:r>
        <w:rPr>
          <w:rFonts w:hint="eastAsia" w:ascii="仿宋_GB2312" w:hAnsi="仿宋_GB2312" w:eastAsia="仿宋_GB2312" w:cs="仿宋_GB2312"/>
          <w:sz w:val="32"/>
          <w:szCs w:val="32"/>
        </w:rPr>
        <w:t>分以下的列为</w:t>
      </w:r>
      <w:r>
        <w:rPr>
          <w:rFonts w:hint="eastAsia" w:ascii="仿宋_GB2312" w:hAnsi="仿宋_GB2312" w:eastAsia="仿宋_GB2312" w:cs="仿宋_GB2312"/>
          <w:sz w:val="32"/>
          <w:szCs w:val="32"/>
          <w:lang w:val="en-US" w:eastAsia="zh-CN"/>
        </w:rPr>
        <w:t>C</w:t>
      </w:r>
      <w:r>
        <w:rPr>
          <w:rFonts w:hint="eastAsia" w:ascii="仿宋_GB2312" w:hAnsi="仿宋_GB2312" w:eastAsia="仿宋_GB2312" w:cs="仿宋_GB2312"/>
          <w:sz w:val="32"/>
          <w:szCs w:val="32"/>
        </w:rPr>
        <w:t>级；</w:t>
      </w:r>
    </w:p>
    <w:p>
      <w:pPr>
        <w:spacing w:line="600" w:lineRule="exact"/>
        <w:ind w:firstLine="652"/>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（四）</w:t>
      </w:r>
      <w:r>
        <w:rPr>
          <w:rFonts w:hint="eastAsia" w:ascii="仿宋_GB2312" w:hAnsi="仿宋_GB2312" w:eastAsia="仿宋_GB2312" w:cs="仿宋_GB2312"/>
          <w:sz w:val="32"/>
          <w:szCs w:val="32"/>
          <w:lang w:eastAsia="zh-CN"/>
        </w:rPr>
        <w:t>动态评价</w:t>
      </w:r>
      <w:r>
        <w:rPr>
          <w:rFonts w:hint="eastAsia" w:ascii="仿宋_GB2312" w:hAnsi="仿宋_GB2312" w:eastAsia="仿宋_GB2312" w:cs="仿宋_GB2312"/>
          <w:sz w:val="32"/>
          <w:szCs w:val="32"/>
        </w:rPr>
        <w:t>得分在</w:t>
      </w:r>
      <w:r>
        <w:rPr>
          <w:rFonts w:hint="eastAsia" w:ascii="仿宋_GB2312" w:hAnsi="仿宋_GB2312" w:eastAsia="仿宋_GB2312" w:cs="仿宋_GB2312"/>
          <w:sz w:val="32"/>
          <w:szCs w:val="32"/>
          <w:lang w:val="en-US" w:eastAsia="zh-CN"/>
        </w:rPr>
        <w:t>60</w:t>
      </w:r>
      <w:r>
        <w:rPr>
          <w:rFonts w:hint="eastAsia" w:ascii="仿宋_GB2312" w:hAnsi="仿宋_GB2312" w:eastAsia="仿宋_GB2312" w:cs="仿宋_GB2312"/>
          <w:sz w:val="32"/>
          <w:szCs w:val="32"/>
        </w:rPr>
        <w:t>分以上（含</w:t>
      </w:r>
      <w:r>
        <w:rPr>
          <w:rFonts w:hint="eastAsia" w:ascii="仿宋_GB2312" w:hAnsi="仿宋_GB2312" w:eastAsia="仿宋_GB2312" w:cs="仿宋_GB2312"/>
          <w:sz w:val="32"/>
          <w:szCs w:val="32"/>
          <w:lang w:val="en-US" w:eastAsia="zh-CN"/>
        </w:rPr>
        <w:t>60</w:t>
      </w:r>
      <w:r>
        <w:rPr>
          <w:rFonts w:hint="eastAsia" w:ascii="仿宋_GB2312" w:hAnsi="仿宋_GB2312" w:eastAsia="仿宋_GB2312" w:cs="仿宋_GB2312"/>
          <w:sz w:val="32"/>
          <w:szCs w:val="32"/>
        </w:rPr>
        <w:t>分）</w:t>
      </w:r>
      <w:r>
        <w:rPr>
          <w:rFonts w:hint="eastAsia" w:ascii="仿宋_GB2312" w:hAnsi="仿宋_GB2312" w:eastAsia="仿宋_GB2312" w:cs="仿宋_GB2312"/>
          <w:sz w:val="32"/>
          <w:szCs w:val="32"/>
          <w:lang w:val="en-US" w:eastAsia="zh-CN"/>
        </w:rPr>
        <w:t>75</w:t>
      </w:r>
      <w:r>
        <w:rPr>
          <w:rFonts w:hint="default" w:ascii="仿宋_GB2312" w:hAnsi="仿宋_GB2312" w:eastAsia="仿宋_GB2312" w:cs="仿宋_GB2312"/>
          <w:sz w:val="32"/>
          <w:szCs w:val="32"/>
          <w:lang w:eastAsia="zh-CN"/>
        </w:rPr>
        <w:t>分</w:t>
      </w:r>
      <w:r>
        <w:rPr>
          <w:rFonts w:hint="eastAsia" w:ascii="仿宋_GB2312" w:hAnsi="仿宋_GB2312" w:eastAsia="仿宋_GB2312" w:cs="仿宋_GB2312"/>
          <w:sz w:val="32"/>
          <w:szCs w:val="32"/>
        </w:rPr>
        <w:t>以下的列为</w:t>
      </w:r>
      <w:r>
        <w:rPr>
          <w:rFonts w:hint="eastAsia" w:ascii="仿宋_GB2312" w:hAnsi="仿宋_GB2312" w:eastAsia="仿宋_GB2312" w:cs="仿宋_GB2312"/>
          <w:sz w:val="32"/>
          <w:szCs w:val="32"/>
          <w:lang w:val="en-US" w:eastAsia="zh-CN"/>
        </w:rPr>
        <w:t>D</w:t>
      </w:r>
      <w:r>
        <w:rPr>
          <w:rFonts w:hint="eastAsia" w:ascii="仿宋_GB2312" w:hAnsi="仿宋_GB2312" w:eastAsia="仿宋_GB2312" w:cs="仿宋_GB2312"/>
          <w:sz w:val="32"/>
          <w:szCs w:val="32"/>
        </w:rPr>
        <w:t>级</w:t>
      </w:r>
      <w:r>
        <w:rPr>
          <w:rFonts w:hint="eastAsia" w:ascii="仿宋_GB2312" w:hAnsi="仿宋_GB2312" w:eastAsia="仿宋_GB2312" w:cs="仿宋_GB2312"/>
          <w:sz w:val="32"/>
          <w:szCs w:val="32"/>
          <w:lang w:eastAsia="zh-CN"/>
        </w:rPr>
        <w:t>；</w:t>
      </w:r>
    </w:p>
    <w:p>
      <w:pPr>
        <w:spacing w:line="600" w:lineRule="exact"/>
        <w:ind w:firstLine="652"/>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（五）动态评价</w:t>
      </w:r>
      <w:r>
        <w:rPr>
          <w:rFonts w:hint="eastAsia" w:ascii="仿宋_GB2312" w:hAnsi="仿宋_GB2312" w:eastAsia="仿宋_GB2312" w:cs="仿宋_GB2312"/>
          <w:sz w:val="32"/>
          <w:szCs w:val="32"/>
        </w:rPr>
        <w:t>得分在60</w:t>
      </w:r>
      <w:r>
        <w:rPr>
          <w:rFonts w:hint="eastAsia" w:ascii="仿宋_GB2312" w:hAnsi="仿宋_GB2312" w:eastAsia="仿宋_GB2312" w:cs="仿宋_GB2312"/>
          <w:sz w:val="32"/>
          <w:szCs w:val="32"/>
          <w:lang w:eastAsia="zh-CN"/>
        </w:rPr>
        <w:t>分</w:t>
      </w:r>
      <w:r>
        <w:rPr>
          <w:rFonts w:hint="eastAsia" w:ascii="仿宋_GB2312" w:hAnsi="仿宋_GB2312" w:eastAsia="仿宋_GB2312" w:cs="仿宋_GB2312"/>
          <w:sz w:val="32"/>
          <w:szCs w:val="32"/>
        </w:rPr>
        <w:t>以下的列为</w:t>
      </w:r>
      <w:r>
        <w:rPr>
          <w:rFonts w:hint="eastAsia" w:ascii="仿宋_GB2312" w:hAnsi="仿宋_GB2312" w:eastAsia="仿宋_GB2312" w:cs="仿宋_GB2312"/>
          <w:sz w:val="32"/>
          <w:szCs w:val="32"/>
          <w:lang w:val="en-US" w:eastAsia="zh-CN"/>
        </w:rPr>
        <w:t>E</w:t>
      </w:r>
      <w:r>
        <w:rPr>
          <w:rFonts w:hint="eastAsia" w:ascii="仿宋_GB2312" w:hAnsi="仿宋_GB2312" w:eastAsia="仿宋_GB2312" w:cs="仿宋_GB2312"/>
          <w:sz w:val="32"/>
          <w:szCs w:val="32"/>
        </w:rPr>
        <w:t>级。</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sz w:val="32"/>
          <w:szCs w:val="32"/>
          <w:lang w:val="en-US" w:eastAsia="zh-CN"/>
        </w:rPr>
        <w:t>第十六条</w:t>
      </w:r>
      <w:r>
        <w:rPr>
          <w:rFonts w:hint="eastAsia" w:ascii="仿宋_GB2312" w:hAnsi="仿宋_GB2312" w:eastAsia="仿宋_GB2312" w:cs="仿宋_GB2312"/>
          <w:b w:val="0"/>
          <w:bCs w:val="0"/>
          <w:color w:val="auto"/>
          <w:sz w:val="32"/>
          <w:szCs w:val="32"/>
          <w:lang w:val="en-US" w:eastAsia="zh-CN"/>
        </w:rPr>
        <w:t xml:space="preserve"> 鼓励招标人（采购人）等项目发起方在公共资源交易过程中使用项目响应方的信用评价结果，可以将项目响应方信用评价结果作为公共资源交易项目评标（评审）的加</w:t>
      </w:r>
      <w:r>
        <w:rPr>
          <w:rFonts w:hint="default"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lang w:val="en-US" w:eastAsia="zh-CN"/>
        </w:rPr>
        <w:t>减</w:t>
      </w:r>
      <w:r>
        <w:rPr>
          <w:rFonts w:hint="default"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lang w:val="en-US" w:eastAsia="zh-CN"/>
        </w:rPr>
        <w:t>分依据，具体加</w:t>
      </w:r>
      <w:r>
        <w:rPr>
          <w:rFonts w:hint="default"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lang w:val="en-US" w:eastAsia="zh-CN"/>
        </w:rPr>
        <w:t>减</w:t>
      </w:r>
      <w:r>
        <w:rPr>
          <w:rFonts w:hint="default"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lang w:val="en-US" w:eastAsia="zh-CN"/>
        </w:rPr>
        <w:t>分值比例由项目发起方在交易文件中载明。</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sz w:val="32"/>
          <w:szCs w:val="32"/>
          <w:lang w:val="en-US" w:eastAsia="zh-CN"/>
        </w:rPr>
        <w:t>第十七条</w:t>
      </w:r>
      <w:r>
        <w:rPr>
          <w:rFonts w:hint="eastAsia" w:ascii="仿宋_GB2312" w:hAnsi="仿宋_GB2312" w:eastAsia="仿宋_GB2312" w:cs="仿宋_GB2312"/>
          <w:b w:val="0"/>
          <w:bCs w:val="0"/>
          <w:color w:val="auto"/>
          <w:sz w:val="32"/>
          <w:szCs w:val="32"/>
          <w:lang w:val="en-US" w:eastAsia="zh-CN"/>
        </w:rPr>
        <w:t xml:space="preserve"> 信用评价结果为A级信用等级的中介代理和服务机构、项目响应方，鼓励招标人（采购人）运用以下激励措施：</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（一）招标人（采购人）在选择中介代理时，优先选择信用评价结果为A级信用等级的中介代理和服务机构；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（二）提倡招标人（采购人）对信用评价结果为A级信用等级的项目响应方降低或取消投标保证金（需交纳投标保证金项目）和履约保证金；</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（三）招标人（采购人）在相同条件下，优先选择信用评价结果为A级信用等级的项目响应方。</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第十八条 公共资源交易当事人信用评价结果在</w:t>
      </w:r>
      <w:r>
        <w:rPr>
          <w:rFonts w:hint="eastAsia" w:ascii="仿宋_GB2312" w:hAnsi="仿宋_GB2312" w:eastAsia="仿宋_GB2312" w:cs="仿宋_GB2312"/>
          <w:sz w:val="32"/>
          <w:szCs w:val="32"/>
          <w:highlight w:val="none"/>
        </w:rPr>
        <w:t>信用评价信息</w:t>
      </w:r>
      <w:r>
        <w:rPr>
          <w:rFonts w:hint="eastAsia" w:ascii="仿宋_GB2312" w:hAnsi="仿宋_GB2312" w:eastAsia="仿宋_GB2312" w:cs="仿宋_GB2312"/>
          <w:sz w:val="32"/>
          <w:szCs w:val="32"/>
          <w:highlight w:val="none"/>
          <w:lang w:eastAsia="zh-CN"/>
        </w:rPr>
        <w:t>系统公示</w:t>
      </w:r>
      <w:r>
        <w:rPr>
          <w:rFonts w:hint="eastAsia" w:ascii="仿宋_GB2312" w:hAnsi="仿宋_GB2312" w:eastAsia="仿宋_GB2312" w:cs="仿宋_GB2312"/>
          <w:sz w:val="32"/>
          <w:szCs w:val="32"/>
          <w:lang w:eastAsia="zh-CN"/>
        </w:rPr>
        <w:t>，公示起始时间以评价结果录入信用评价信息系统为准。</w:t>
      </w:r>
      <w:r>
        <w:rPr>
          <w:rFonts w:hint="eastAsia" w:ascii="仿宋_GB2312" w:hAnsi="仿宋_GB2312" w:eastAsia="仿宋_GB2312" w:cs="仿宋_GB2312"/>
          <w:b w:val="0"/>
          <w:bCs w:val="0"/>
          <w:color w:val="auto"/>
          <w:sz w:val="32"/>
          <w:szCs w:val="32"/>
          <w:lang w:val="en-US" w:eastAsia="zh-CN"/>
        </w:rPr>
        <w:t>信用评价为B等级的公示期3个月；信用评价为C等级的公示期6个月；信用评价为D等级的公示期9个月；信用评价为E等级公示期1年。信用评价公示期满后，信用评价分值自动恢复为基础分。</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sz w:val="32"/>
          <w:szCs w:val="32"/>
          <w:lang w:val="en-US" w:eastAsia="zh-CN"/>
        </w:rPr>
        <w:t>第十九条</w:t>
      </w:r>
      <w:r>
        <w:rPr>
          <w:rFonts w:hint="eastAsia" w:ascii="仿宋_GB2312" w:hAnsi="仿宋_GB2312" w:eastAsia="仿宋_GB2312" w:cs="仿宋_GB2312"/>
          <w:b/>
          <w:bCs/>
          <w:color w:val="auto"/>
          <w:sz w:val="32"/>
          <w:szCs w:val="32"/>
          <w:lang w:val="en-US" w:eastAsia="zh-CN"/>
        </w:rPr>
        <w:t xml:space="preserve"> </w:t>
      </w:r>
      <w:r>
        <w:rPr>
          <w:rFonts w:hint="eastAsia" w:ascii="仿宋_GB2312" w:hAnsi="仿宋_GB2312" w:eastAsia="仿宋_GB2312" w:cs="仿宋_GB2312"/>
          <w:b w:val="0"/>
          <w:bCs w:val="0"/>
          <w:color w:val="auto"/>
          <w:sz w:val="32"/>
          <w:szCs w:val="32"/>
          <w:lang w:val="en-US" w:eastAsia="zh-CN"/>
        </w:rPr>
        <w:t>公共资源交易当事人提供虚假信用信息的，由行业行政监管部门依据有关规定予以处理，处理结果通过</w:t>
      </w:r>
      <w:r>
        <w:rPr>
          <w:rFonts w:hint="eastAsia" w:ascii="仿宋_GB2312" w:hAnsi="仿宋_GB2312" w:eastAsia="仿宋_GB2312" w:cs="仿宋_GB2312"/>
          <w:b w:val="0"/>
          <w:bCs w:val="0"/>
          <w:color w:val="auto"/>
          <w:sz w:val="32"/>
          <w:szCs w:val="32"/>
          <w:highlight w:val="none"/>
          <w:lang w:val="en-US" w:eastAsia="zh-CN"/>
        </w:rPr>
        <w:t>公共资源交易平台</w:t>
      </w:r>
      <w:r>
        <w:rPr>
          <w:rFonts w:hint="eastAsia" w:ascii="仿宋_GB2312" w:hAnsi="仿宋_GB2312" w:eastAsia="仿宋_GB2312" w:cs="仿宋_GB2312"/>
          <w:b w:val="0"/>
          <w:bCs w:val="0"/>
          <w:color w:val="auto"/>
          <w:sz w:val="32"/>
          <w:szCs w:val="32"/>
          <w:lang w:val="en-US" w:eastAsia="zh-CN"/>
        </w:rPr>
        <w:t>向社会公开。</w:t>
      </w:r>
    </w:p>
    <w:p>
      <w:pPr>
        <w:spacing w:line="600" w:lineRule="exact"/>
        <w:jc w:val="both"/>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bCs/>
          <w:color w:val="auto"/>
          <w:sz w:val="32"/>
          <w:szCs w:val="32"/>
          <w:lang w:val="en-US" w:eastAsia="zh-CN"/>
        </w:rPr>
        <w:t xml:space="preserve">    </w:t>
      </w:r>
      <w:r>
        <w:rPr>
          <w:rFonts w:hint="eastAsia" w:ascii="仿宋_GB2312" w:hAnsi="仿宋_GB2312" w:eastAsia="仿宋_GB2312" w:cs="仿宋_GB2312"/>
          <w:b w:val="0"/>
          <w:bCs w:val="0"/>
          <w:color w:val="auto"/>
          <w:sz w:val="32"/>
          <w:szCs w:val="32"/>
          <w:lang w:val="en-US" w:eastAsia="zh-CN"/>
        </w:rPr>
        <w:t>第二十条 行业行政监管部门和交易中心及其工作人员在信用信息的记录、公开、共享、评价和使用等工作中徇私舞弊、滥用职权、弄虚作假、玩忽职守或未依法履行职责的，依法给予处分；涉嫌违纪违法或者涉嫌犯罪的，依法移送有关部门处理。</w:t>
      </w:r>
    </w:p>
    <w:p>
      <w:pPr>
        <w:spacing w:line="600" w:lineRule="exact"/>
        <w:ind w:firstLine="640" w:firstLineChars="200"/>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eastAsia="zh-CN"/>
        </w:rPr>
        <w:t>二十一</w:t>
      </w:r>
      <w:r>
        <w:rPr>
          <w:rFonts w:hint="eastAsia" w:ascii="仿宋_GB2312" w:hAnsi="仿宋_GB2312" w:eastAsia="仿宋_GB2312" w:cs="仿宋_GB2312"/>
          <w:sz w:val="32"/>
          <w:szCs w:val="32"/>
        </w:rPr>
        <w:t>条 本办法自发布之日起</w:t>
      </w:r>
      <w:r>
        <w:rPr>
          <w:rFonts w:hint="eastAsia" w:ascii="仿宋_GB2312" w:hAnsi="仿宋_GB2312" w:eastAsia="仿宋_GB2312" w:cs="仿宋_GB2312"/>
          <w:sz w:val="32"/>
          <w:szCs w:val="32"/>
          <w:lang w:eastAsia="zh-CN"/>
        </w:rPr>
        <w:t>三十日后施行，</w:t>
      </w:r>
      <w:r>
        <w:rPr>
          <w:rFonts w:hint="eastAsia" w:ascii="仿宋_GB2312" w:hAnsi="仿宋_GB2312" w:eastAsia="仿宋_GB2312" w:cs="仿宋_GB2312"/>
          <w:b w:val="0"/>
          <w:bCs w:val="0"/>
          <w:color w:val="auto"/>
          <w:sz w:val="32"/>
          <w:szCs w:val="32"/>
          <w:lang w:val="en-US" w:eastAsia="zh-CN"/>
        </w:rPr>
        <w:t>有效期1年。</w:t>
      </w:r>
    </w:p>
    <w:p>
      <w:pPr>
        <w:spacing w:line="600" w:lineRule="exact"/>
        <w:ind w:firstLine="640" w:firstLineChars="200"/>
        <w:rPr>
          <w:rFonts w:hint="eastAsia" w:ascii="仿宋_GB2312" w:hAnsi="仿宋_GB2312" w:eastAsia="仿宋_GB2312" w:cs="仿宋_GB2312"/>
          <w:b w:val="0"/>
          <w:bCs w:val="0"/>
          <w:color w:val="auto"/>
          <w:sz w:val="32"/>
          <w:szCs w:val="32"/>
          <w:lang w:val="en-US" w:eastAsia="zh-CN"/>
        </w:rPr>
      </w:pPr>
    </w:p>
    <w:p>
      <w:pPr>
        <w:spacing w:line="600" w:lineRule="exact"/>
        <w:ind w:firstLine="640" w:firstLineChars="200"/>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附件：牡丹江市</w:t>
      </w:r>
      <w:r>
        <w:rPr>
          <w:rFonts w:hint="eastAsia" w:ascii="仿宋_GB2312" w:hAnsi="仿宋_GB2312" w:eastAsia="仿宋_GB2312" w:cs="仿宋_GB2312"/>
          <w:sz w:val="32"/>
          <w:szCs w:val="32"/>
          <w:lang w:eastAsia="zh-CN"/>
        </w:rPr>
        <w:t>公共资源交易信用评价</w:t>
      </w:r>
      <w:r>
        <w:rPr>
          <w:rFonts w:hint="eastAsia" w:ascii="仿宋_GB2312" w:hAnsi="仿宋_GB2312" w:eastAsia="仿宋_GB2312" w:cs="仿宋_GB2312"/>
          <w:b w:val="0"/>
          <w:bCs w:val="0"/>
          <w:color w:val="auto"/>
          <w:sz w:val="32"/>
          <w:szCs w:val="32"/>
          <w:lang w:val="en-US" w:eastAsia="zh-CN"/>
        </w:rPr>
        <w:t>评分细则（试行）</w:t>
      </w:r>
    </w:p>
    <w:p>
      <w:pPr>
        <w:spacing w:line="600" w:lineRule="exact"/>
        <w:jc w:val="both"/>
        <w:rPr>
          <w:rFonts w:hint="eastAsia" w:ascii="仿宋_GB2312" w:hAnsi="仿宋_GB2312" w:eastAsia="仿宋_GB2312" w:cs="仿宋_GB2312"/>
          <w:color w:val="000000"/>
          <w:kern w:val="0"/>
          <w:sz w:val="32"/>
          <w:szCs w:val="32"/>
          <w:u w:val="none"/>
          <w:lang w:val="en-US" w:eastAsia="zh-CN" w:bidi="ar"/>
        </w:rPr>
      </w:pPr>
    </w:p>
    <w:p>
      <w:pPr>
        <w:spacing w:line="600" w:lineRule="exact"/>
        <w:jc w:val="both"/>
        <w:rPr>
          <w:rFonts w:hint="eastAsia" w:ascii="黑体" w:hAnsi="黑体" w:eastAsia="黑体" w:cs="黑体"/>
          <w:b w:val="0"/>
          <w:bCs w:val="0"/>
          <w:sz w:val="32"/>
          <w:szCs w:val="32"/>
          <w:lang w:eastAsia="zh-CN"/>
        </w:rPr>
      </w:pPr>
    </w:p>
    <w:p>
      <w:pPr>
        <w:spacing w:line="600" w:lineRule="exact"/>
        <w:jc w:val="both"/>
        <w:rPr>
          <w:rFonts w:hint="eastAsia" w:ascii="黑体" w:hAnsi="黑体" w:eastAsia="黑体" w:cs="黑体"/>
          <w:b w:val="0"/>
          <w:bCs w:val="0"/>
          <w:sz w:val="32"/>
          <w:szCs w:val="32"/>
          <w:lang w:eastAsia="zh-CN"/>
        </w:rPr>
      </w:pPr>
    </w:p>
    <w:p>
      <w:pPr>
        <w:spacing w:line="600" w:lineRule="exact"/>
        <w:jc w:val="both"/>
        <w:rPr>
          <w:rFonts w:hint="eastAsia" w:ascii="黑体" w:hAnsi="黑体" w:eastAsia="黑体" w:cs="黑体"/>
          <w:b w:val="0"/>
          <w:bCs w:val="0"/>
          <w:sz w:val="32"/>
          <w:szCs w:val="32"/>
          <w:lang w:eastAsia="zh-CN"/>
        </w:rPr>
      </w:pPr>
    </w:p>
    <w:p>
      <w:pPr>
        <w:spacing w:line="600" w:lineRule="exact"/>
        <w:jc w:val="both"/>
        <w:rPr>
          <w:rFonts w:hint="eastAsia" w:ascii="黑体" w:hAnsi="黑体" w:eastAsia="黑体" w:cs="黑体"/>
          <w:b w:val="0"/>
          <w:bCs w:val="0"/>
          <w:sz w:val="32"/>
          <w:szCs w:val="32"/>
          <w:lang w:eastAsia="zh-CN"/>
        </w:rPr>
      </w:pPr>
    </w:p>
    <w:p>
      <w:pPr>
        <w:spacing w:line="600" w:lineRule="exact"/>
        <w:jc w:val="both"/>
        <w:rPr>
          <w:rFonts w:hint="eastAsia" w:ascii="黑体" w:hAnsi="黑体" w:eastAsia="黑体" w:cs="黑体"/>
          <w:b w:val="0"/>
          <w:bCs w:val="0"/>
          <w:sz w:val="32"/>
          <w:szCs w:val="32"/>
          <w:lang w:eastAsia="zh-CN"/>
        </w:rPr>
      </w:pPr>
    </w:p>
    <w:p>
      <w:pPr>
        <w:spacing w:line="600" w:lineRule="exact"/>
        <w:jc w:val="both"/>
        <w:rPr>
          <w:rFonts w:hint="eastAsia" w:ascii="黑体" w:hAnsi="黑体" w:eastAsia="黑体" w:cs="黑体"/>
          <w:b w:val="0"/>
          <w:bCs w:val="0"/>
          <w:sz w:val="32"/>
          <w:szCs w:val="32"/>
          <w:lang w:eastAsia="zh-CN"/>
        </w:rPr>
      </w:pPr>
    </w:p>
    <w:p>
      <w:pPr>
        <w:spacing w:line="600" w:lineRule="exact"/>
        <w:jc w:val="both"/>
        <w:rPr>
          <w:rFonts w:hint="eastAsia" w:ascii="黑体" w:hAnsi="黑体" w:eastAsia="黑体" w:cs="黑体"/>
          <w:b w:val="0"/>
          <w:bCs w:val="0"/>
          <w:sz w:val="32"/>
          <w:szCs w:val="32"/>
          <w:lang w:eastAsia="zh-CN"/>
        </w:rPr>
      </w:pPr>
    </w:p>
    <w:p>
      <w:pPr>
        <w:spacing w:line="600" w:lineRule="exact"/>
        <w:jc w:val="both"/>
        <w:rPr>
          <w:rFonts w:hint="eastAsia" w:ascii="黑体" w:hAnsi="黑体" w:eastAsia="黑体" w:cs="黑体"/>
          <w:b w:val="0"/>
          <w:bCs w:val="0"/>
          <w:sz w:val="32"/>
          <w:szCs w:val="32"/>
          <w:lang w:eastAsia="zh-CN"/>
        </w:rPr>
      </w:pPr>
    </w:p>
    <w:p>
      <w:pPr>
        <w:spacing w:line="600" w:lineRule="exact"/>
        <w:jc w:val="both"/>
        <w:rPr>
          <w:rFonts w:hint="eastAsia" w:ascii="黑体" w:hAnsi="黑体" w:eastAsia="黑体" w:cs="黑体"/>
          <w:b w:val="0"/>
          <w:bCs w:val="0"/>
          <w:sz w:val="32"/>
          <w:szCs w:val="32"/>
          <w:lang w:eastAsia="zh-CN"/>
        </w:rPr>
      </w:pPr>
    </w:p>
    <w:p>
      <w:pPr>
        <w:spacing w:line="600" w:lineRule="exact"/>
        <w:jc w:val="both"/>
        <w:rPr>
          <w:rFonts w:hint="eastAsia" w:ascii="黑体" w:hAnsi="黑体" w:eastAsia="黑体" w:cs="黑体"/>
          <w:b w:val="0"/>
          <w:bCs w:val="0"/>
          <w:sz w:val="32"/>
          <w:szCs w:val="32"/>
          <w:lang w:eastAsia="zh-CN"/>
        </w:rPr>
      </w:pPr>
    </w:p>
    <w:p>
      <w:pPr>
        <w:spacing w:line="600" w:lineRule="exact"/>
        <w:jc w:val="both"/>
        <w:rPr>
          <w:rFonts w:hint="eastAsia" w:ascii="黑体" w:hAnsi="黑体" w:eastAsia="黑体" w:cs="黑体"/>
          <w:b w:val="0"/>
          <w:bCs w:val="0"/>
          <w:sz w:val="32"/>
          <w:szCs w:val="32"/>
          <w:lang w:eastAsia="zh-CN"/>
        </w:rPr>
      </w:pPr>
    </w:p>
    <w:p>
      <w:pPr>
        <w:spacing w:line="600" w:lineRule="exact"/>
        <w:jc w:val="both"/>
        <w:rPr>
          <w:rFonts w:hint="eastAsia" w:ascii="黑体" w:hAnsi="黑体" w:eastAsia="黑体" w:cs="黑体"/>
          <w:b w:val="0"/>
          <w:bCs w:val="0"/>
          <w:sz w:val="32"/>
          <w:szCs w:val="32"/>
          <w:lang w:eastAsia="zh-CN"/>
        </w:rPr>
      </w:pPr>
    </w:p>
    <w:p>
      <w:pPr>
        <w:spacing w:line="600" w:lineRule="exact"/>
        <w:jc w:val="both"/>
        <w:rPr>
          <w:rFonts w:hint="eastAsia" w:ascii="黑体" w:hAnsi="黑体" w:eastAsia="黑体" w:cs="黑体"/>
          <w:b w:val="0"/>
          <w:bCs w:val="0"/>
          <w:sz w:val="32"/>
          <w:szCs w:val="32"/>
          <w:lang w:eastAsia="zh-CN"/>
        </w:rPr>
      </w:pPr>
    </w:p>
    <w:p>
      <w:pPr>
        <w:spacing w:line="600" w:lineRule="exact"/>
        <w:jc w:val="both"/>
        <w:rPr>
          <w:rFonts w:hint="eastAsia" w:ascii="黑体" w:hAnsi="黑体" w:eastAsia="黑体" w:cs="黑体"/>
          <w:b w:val="0"/>
          <w:bCs w:val="0"/>
          <w:sz w:val="32"/>
          <w:szCs w:val="32"/>
          <w:lang w:eastAsia="zh-CN"/>
        </w:rPr>
      </w:pPr>
    </w:p>
    <w:p>
      <w:pPr>
        <w:spacing w:line="600" w:lineRule="exact"/>
        <w:jc w:val="both"/>
        <w:rPr>
          <w:rFonts w:hint="eastAsia" w:ascii="黑体" w:hAnsi="黑体" w:eastAsia="黑体" w:cs="黑体"/>
          <w:b w:val="0"/>
          <w:bCs w:val="0"/>
          <w:sz w:val="32"/>
          <w:szCs w:val="32"/>
          <w:lang w:eastAsia="zh-CN"/>
        </w:rPr>
      </w:pPr>
    </w:p>
    <w:p>
      <w:pPr>
        <w:spacing w:line="600" w:lineRule="exact"/>
        <w:jc w:val="both"/>
        <w:rPr>
          <w:rFonts w:hint="eastAsia" w:ascii="黑体" w:hAnsi="黑体" w:eastAsia="黑体" w:cs="黑体"/>
          <w:b w:val="0"/>
          <w:bCs w:val="0"/>
          <w:sz w:val="32"/>
          <w:szCs w:val="32"/>
          <w:lang w:eastAsia="zh-CN"/>
        </w:rPr>
      </w:pPr>
    </w:p>
    <w:p>
      <w:pPr>
        <w:spacing w:line="600" w:lineRule="exact"/>
        <w:jc w:val="both"/>
        <w:rPr>
          <w:rFonts w:hint="eastAsia" w:ascii="黑体" w:hAnsi="黑体" w:eastAsia="黑体" w:cs="黑体"/>
          <w:b w:val="0"/>
          <w:bCs w:val="0"/>
          <w:sz w:val="32"/>
          <w:szCs w:val="32"/>
          <w:lang w:eastAsia="zh-CN"/>
        </w:rPr>
      </w:pPr>
    </w:p>
    <w:p>
      <w:pPr>
        <w:spacing w:line="600" w:lineRule="exact"/>
        <w:jc w:val="both"/>
        <w:rPr>
          <w:rFonts w:hint="eastAsia" w:ascii="仿宋_GB2312" w:hAnsi="仿宋_GB2312" w:eastAsia="仿宋_GB2312" w:cs="仿宋_GB2312"/>
          <w:b/>
          <w:bCs/>
          <w:sz w:val="32"/>
          <w:szCs w:val="32"/>
          <w:lang w:val="en-US" w:eastAsia="zh-CN"/>
        </w:rPr>
      </w:pPr>
      <w:r>
        <w:rPr>
          <w:rFonts w:hint="eastAsia" w:ascii="黑体" w:hAnsi="黑体" w:eastAsia="黑体" w:cs="黑体"/>
          <w:b w:val="0"/>
          <w:bCs w:val="0"/>
          <w:sz w:val="32"/>
          <w:szCs w:val="32"/>
          <w:lang w:eastAsia="zh-CN"/>
        </w:rPr>
        <w:t>附件</w:t>
      </w:r>
    </w:p>
    <w:p>
      <w:pPr>
        <w:spacing w:line="600" w:lineRule="exact"/>
        <w:jc w:val="center"/>
        <w:rPr>
          <w:rFonts w:hint="eastAsia" w:ascii="仿宋_GB2312" w:hAnsi="仿宋_GB2312" w:eastAsia="仿宋_GB2312" w:cs="仿宋_GB2312"/>
          <w:b/>
          <w:bCs/>
          <w:sz w:val="32"/>
          <w:szCs w:val="32"/>
          <w:lang w:eastAsia="zh-CN"/>
        </w:rPr>
      </w:pPr>
    </w:p>
    <w:p>
      <w:pPr>
        <w:spacing w:line="600" w:lineRule="exact"/>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lang w:eastAsia="zh-CN"/>
        </w:rPr>
        <w:t>牡丹江</w:t>
      </w:r>
      <w:r>
        <w:rPr>
          <w:rFonts w:hint="eastAsia" w:ascii="方正小标宋简体" w:hAnsi="方正小标宋简体" w:eastAsia="方正小标宋简体" w:cs="方正小标宋简体"/>
          <w:b w:val="0"/>
          <w:bCs w:val="0"/>
          <w:sz w:val="44"/>
          <w:szCs w:val="44"/>
        </w:rPr>
        <w:t>市公共资源交易信用评价</w:t>
      </w:r>
    </w:p>
    <w:p>
      <w:pPr>
        <w:spacing w:line="600" w:lineRule="exact"/>
        <w:jc w:val="center"/>
        <w:rPr>
          <w:rFonts w:hint="eastAsia" w:ascii="方正小标宋简体" w:hAnsi="方正小标宋简体" w:eastAsia="方正小标宋简体" w:cs="方正小标宋简体"/>
          <w:b w:val="0"/>
          <w:bCs w:val="0"/>
          <w:sz w:val="44"/>
          <w:szCs w:val="44"/>
          <w:lang w:eastAsia="zh-CN"/>
        </w:rPr>
      </w:pPr>
      <w:r>
        <w:rPr>
          <w:rFonts w:hint="eastAsia" w:ascii="方正小标宋简体" w:hAnsi="方正小标宋简体" w:eastAsia="方正小标宋简体" w:cs="方正小标宋简体"/>
          <w:b w:val="0"/>
          <w:bCs w:val="0"/>
          <w:sz w:val="44"/>
          <w:szCs w:val="44"/>
          <w:lang w:eastAsia="zh-CN"/>
        </w:rPr>
        <w:t>评分细则（试行）</w:t>
      </w:r>
    </w:p>
    <w:p>
      <w:pPr>
        <w:spacing w:line="600" w:lineRule="exact"/>
        <w:jc w:val="center"/>
        <w:rPr>
          <w:rFonts w:hint="eastAsia" w:ascii="仿宋_GB2312" w:hAnsi="仿宋_GB2312" w:eastAsia="仿宋_GB2312" w:cs="仿宋_GB2312"/>
          <w:b/>
          <w:bCs/>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_GB2312" w:eastAsia="仿宋_GB2312" w:cs="仿宋_GB2312"/>
          <w:color w:val="000000"/>
          <w:kern w:val="0"/>
          <w:sz w:val="32"/>
          <w:szCs w:val="32"/>
          <w:u w:val="none"/>
          <w:lang w:val="en-US" w:eastAsia="zh-CN" w:bidi="ar"/>
        </w:rPr>
      </w:pPr>
      <w:r>
        <w:rPr>
          <w:rFonts w:hint="eastAsia" w:ascii="仿宋_GB2312" w:hAnsi="仿宋_GB2312" w:eastAsia="仿宋_GB2312" w:cs="仿宋_GB2312"/>
          <w:color w:val="000000"/>
          <w:kern w:val="0"/>
          <w:sz w:val="32"/>
          <w:szCs w:val="32"/>
          <w:u w:val="none"/>
          <w:lang w:val="en-US" w:eastAsia="zh-CN" w:bidi="ar"/>
        </w:rPr>
        <w:t>公共资源交易当事人信用评价基础分值为100分，公共资源交易当事人有下列情形，按照评分细则扣除相应分值。</w:t>
      </w:r>
    </w:p>
    <w:tbl>
      <w:tblPr>
        <w:tblStyle w:val="4"/>
        <w:tblpPr w:leftFromText="180" w:rightFromText="180" w:vertAnchor="text" w:horzAnchor="page" w:tblpX="1813" w:tblpY="303"/>
        <w:tblOverlap w:val="never"/>
        <w:tblW w:w="517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5"/>
        <w:gridCol w:w="613"/>
        <w:gridCol w:w="4975"/>
        <w:gridCol w:w="11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0" w:hRule="exact"/>
        </w:trPr>
        <w:tc>
          <w:tcPr>
            <w:tcW w:w="1177"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交易当事人</w:t>
            </w:r>
          </w:p>
        </w:tc>
        <w:tc>
          <w:tcPr>
            <w:tcW w:w="347"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序号</w:t>
            </w:r>
          </w:p>
        </w:tc>
        <w:tc>
          <w:tcPr>
            <w:tcW w:w="2822"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影响信用评价行为</w:t>
            </w:r>
          </w:p>
        </w:tc>
        <w:tc>
          <w:tcPr>
            <w:tcW w:w="651"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扣除分值（分）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3" w:hRule="exact"/>
        </w:trPr>
        <w:tc>
          <w:tcPr>
            <w:tcW w:w="1177" w:type="pct"/>
            <w:vMerge w:val="restar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中介代理</w:t>
            </w:r>
          </w:p>
        </w:tc>
        <w:tc>
          <w:tcPr>
            <w:tcW w:w="347"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1</w:t>
            </w:r>
          </w:p>
        </w:tc>
        <w:tc>
          <w:tcPr>
            <w:tcW w:w="2822" w:type="pct"/>
            <w:noWrap w:val="0"/>
            <w:vAlign w:val="center"/>
          </w:tcPr>
          <w:p>
            <w:pPr>
              <w:spacing w:line="600" w:lineRule="exact"/>
              <w:jc w:val="both"/>
              <w:rPr>
                <w:rFonts w:hint="eastAsia" w:ascii="仿宋_GB2312" w:hAnsi="仿宋_GB2312" w:eastAsia="仿宋_GB2312" w:cs="仿宋_GB2312"/>
                <w:color w:val="auto"/>
                <w:kern w:val="0"/>
                <w:sz w:val="30"/>
                <w:szCs w:val="30"/>
                <w:u w:val="none"/>
                <w:lang w:val="en-US" w:eastAsia="zh-CN" w:bidi="ar"/>
              </w:rPr>
            </w:pPr>
            <w:r>
              <w:rPr>
                <w:rFonts w:hint="eastAsia" w:ascii="仿宋_GB2312" w:hAnsi="仿宋_GB2312" w:eastAsia="仿宋_GB2312" w:cs="仿宋_GB2312"/>
                <w:color w:val="auto"/>
                <w:kern w:val="0"/>
                <w:sz w:val="30"/>
                <w:szCs w:val="30"/>
                <w:u w:val="none"/>
                <w:lang w:val="en-US" w:eastAsia="zh-CN" w:bidi="ar"/>
              </w:rPr>
              <w:t>与项目响应方恶意串通</w:t>
            </w:r>
            <w:r>
              <w:rPr>
                <w:rFonts w:hint="default" w:ascii="仿宋_GB2312" w:hAnsi="仿宋_GB2312" w:eastAsia="仿宋_GB2312" w:cs="仿宋_GB2312"/>
                <w:color w:val="auto"/>
                <w:kern w:val="0"/>
                <w:sz w:val="30"/>
                <w:szCs w:val="30"/>
                <w:u w:val="none"/>
                <w:lang w:eastAsia="zh-CN" w:bidi="ar"/>
              </w:rPr>
              <w:t>。</w:t>
            </w:r>
          </w:p>
        </w:tc>
        <w:tc>
          <w:tcPr>
            <w:tcW w:w="651"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2" w:hRule="exact"/>
        </w:trPr>
        <w:tc>
          <w:tcPr>
            <w:tcW w:w="1177" w:type="pct"/>
            <w:vMerge w:val="continue"/>
            <w:noWrap w:val="0"/>
            <w:vAlign w:val="top"/>
          </w:tcPr>
          <w:p>
            <w:pPr>
              <w:spacing w:line="600" w:lineRule="exact"/>
              <w:jc w:val="both"/>
              <w:rPr>
                <w:rFonts w:hint="eastAsia" w:ascii="仿宋_GB2312" w:hAnsi="仿宋_GB2312" w:eastAsia="仿宋_GB2312" w:cs="仿宋_GB2312"/>
                <w:color w:val="000000"/>
                <w:kern w:val="0"/>
                <w:sz w:val="30"/>
                <w:szCs w:val="30"/>
                <w:u w:val="none"/>
                <w:lang w:val="en-US" w:eastAsia="zh-CN" w:bidi="ar"/>
              </w:rPr>
            </w:pPr>
          </w:p>
        </w:tc>
        <w:tc>
          <w:tcPr>
            <w:tcW w:w="347"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2</w:t>
            </w:r>
          </w:p>
        </w:tc>
        <w:tc>
          <w:tcPr>
            <w:tcW w:w="2822" w:type="pct"/>
            <w:noWrap w:val="0"/>
            <w:vAlign w:val="center"/>
          </w:tcPr>
          <w:p>
            <w:pPr>
              <w:spacing w:line="600" w:lineRule="exact"/>
              <w:jc w:val="both"/>
              <w:rPr>
                <w:rFonts w:hint="eastAsia" w:ascii="仿宋_GB2312" w:hAnsi="仿宋_GB2312" w:eastAsia="仿宋_GB2312" w:cs="仿宋_GB2312"/>
                <w:color w:val="auto"/>
                <w:kern w:val="0"/>
                <w:sz w:val="30"/>
                <w:szCs w:val="30"/>
                <w:u w:val="none"/>
                <w:lang w:val="en-US" w:eastAsia="zh-CN" w:bidi="ar"/>
              </w:rPr>
            </w:pPr>
            <w:r>
              <w:rPr>
                <w:rFonts w:hint="eastAsia" w:ascii="仿宋_GB2312" w:hAnsi="仿宋_GB2312" w:eastAsia="仿宋_GB2312" w:cs="仿宋_GB2312"/>
                <w:color w:val="auto"/>
                <w:kern w:val="0"/>
                <w:sz w:val="30"/>
                <w:szCs w:val="30"/>
                <w:u w:val="none"/>
                <w:lang w:val="en-US" w:eastAsia="zh-CN" w:bidi="ar"/>
              </w:rPr>
              <w:t>在公共资源交易过程中接受贿赂或者获取其他不正当利益</w:t>
            </w:r>
            <w:r>
              <w:rPr>
                <w:rFonts w:hint="default" w:ascii="仿宋_GB2312" w:hAnsi="仿宋_GB2312" w:eastAsia="仿宋_GB2312" w:cs="仿宋_GB2312"/>
                <w:color w:val="auto"/>
                <w:kern w:val="0"/>
                <w:sz w:val="30"/>
                <w:szCs w:val="30"/>
                <w:u w:val="none"/>
                <w:lang w:eastAsia="zh-CN" w:bidi="ar"/>
              </w:rPr>
              <w:t>。</w:t>
            </w:r>
          </w:p>
        </w:tc>
        <w:tc>
          <w:tcPr>
            <w:tcW w:w="651"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7" w:hRule="exact"/>
        </w:trPr>
        <w:tc>
          <w:tcPr>
            <w:tcW w:w="1177" w:type="pct"/>
            <w:vMerge w:val="continue"/>
            <w:noWrap w:val="0"/>
            <w:vAlign w:val="top"/>
          </w:tcPr>
          <w:p>
            <w:pPr>
              <w:spacing w:line="600" w:lineRule="exact"/>
              <w:jc w:val="both"/>
              <w:rPr>
                <w:rFonts w:hint="eastAsia" w:ascii="仿宋_GB2312" w:hAnsi="仿宋_GB2312" w:eastAsia="仿宋_GB2312" w:cs="仿宋_GB2312"/>
                <w:color w:val="000000"/>
                <w:kern w:val="0"/>
                <w:sz w:val="30"/>
                <w:szCs w:val="30"/>
                <w:u w:val="none"/>
                <w:lang w:val="en-US" w:eastAsia="zh-CN" w:bidi="ar"/>
              </w:rPr>
            </w:pPr>
          </w:p>
        </w:tc>
        <w:tc>
          <w:tcPr>
            <w:tcW w:w="347"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3</w:t>
            </w:r>
          </w:p>
        </w:tc>
        <w:tc>
          <w:tcPr>
            <w:tcW w:w="2822" w:type="pct"/>
            <w:noWrap w:val="0"/>
            <w:vAlign w:val="center"/>
          </w:tcPr>
          <w:p>
            <w:pPr>
              <w:spacing w:line="600" w:lineRule="exact"/>
              <w:jc w:val="both"/>
              <w:rPr>
                <w:rFonts w:hint="eastAsia" w:ascii="仿宋_GB2312" w:hAnsi="仿宋_GB2312" w:eastAsia="仿宋_GB2312" w:cs="仿宋_GB2312"/>
                <w:color w:val="auto"/>
                <w:kern w:val="0"/>
                <w:sz w:val="30"/>
                <w:szCs w:val="30"/>
                <w:u w:val="none"/>
                <w:lang w:val="en-US" w:eastAsia="zh-CN" w:bidi="ar"/>
              </w:rPr>
            </w:pPr>
            <w:r>
              <w:rPr>
                <w:rFonts w:hint="eastAsia" w:ascii="仿宋_GB2312" w:hAnsi="仿宋_GB2312" w:eastAsia="仿宋_GB2312" w:cs="仿宋_GB2312"/>
                <w:color w:val="auto"/>
                <w:kern w:val="0"/>
                <w:sz w:val="30"/>
                <w:szCs w:val="30"/>
                <w:u w:val="none"/>
                <w:lang w:val="en-US" w:eastAsia="zh-CN" w:bidi="ar"/>
              </w:rPr>
              <w:t>非法干预公共资源交易评审活动</w:t>
            </w:r>
            <w:r>
              <w:rPr>
                <w:rFonts w:hint="default" w:ascii="仿宋_GB2312" w:hAnsi="仿宋_GB2312" w:eastAsia="仿宋_GB2312" w:cs="仿宋_GB2312"/>
                <w:color w:val="auto"/>
                <w:kern w:val="0"/>
                <w:sz w:val="30"/>
                <w:szCs w:val="30"/>
                <w:u w:val="none"/>
                <w:lang w:eastAsia="zh-CN" w:bidi="ar"/>
              </w:rPr>
              <w:t>。</w:t>
            </w:r>
          </w:p>
        </w:tc>
        <w:tc>
          <w:tcPr>
            <w:tcW w:w="651"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4" w:hRule="exact"/>
        </w:trPr>
        <w:tc>
          <w:tcPr>
            <w:tcW w:w="1177" w:type="pct"/>
            <w:vMerge w:val="continue"/>
            <w:noWrap w:val="0"/>
            <w:vAlign w:val="top"/>
          </w:tcPr>
          <w:p>
            <w:pPr>
              <w:spacing w:line="600" w:lineRule="exact"/>
              <w:jc w:val="both"/>
              <w:rPr>
                <w:rFonts w:hint="eastAsia" w:ascii="仿宋_GB2312" w:hAnsi="仿宋_GB2312" w:eastAsia="仿宋_GB2312" w:cs="仿宋_GB2312"/>
                <w:color w:val="000000"/>
                <w:kern w:val="0"/>
                <w:sz w:val="30"/>
                <w:szCs w:val="30"/>
                <w:u w:val="none"/>
                <w:lang w:val="en-US" w:eastAsia="zh-CN" w:bidi="ar"/>
              </w:rPr>
            </w:pPr>
          </w:p>
        </w:tc>
        <w:tc>
          <w:tcPr>
            <w:tcW w:w="347"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4</w:t>
            </w:r>
          </w:p>
        </w:tc>
        <w:tc>
          <w:tcPr>
            <w:tcW w:w="2822" w:type="pct"/>
            <w:noWrap w:val="0"/>
            <w:vAlign w:val="center"/>
          </w:tcPr>
          <w:p>
            <w:pPr>
              <w:spacing w:line="600" w:lineRule="exact"/>
              <w:jc w:val="both"/>
              <w:rPr>
                <w:rFonts w:hint="eastAsia" w:ascii="仿宋_GB2312" w:hAnsi="仿宋_GB2312" w:eastAsia="仿宋_GB2312" w:cs="仿宋_GB2312"/>
                <w:color w:val="auto"/>
                <w:kern w:val="0"/>
                <w:sz w:val="30"/>
                <w:szCs w:val="30"/>
                <w:u w:val="none"/>
                <w:lang w:val="en-US" w:eastAsia="zh-CN" w:bidi="ar"/>
              </w:rPr>
            </w:pPr>
            <w:r>
              <w:rPr>
                <w:rFonts w:hint="eastAsia" w:ascii="仿宋_GB2312" w:hAnsi="仿宋_GB2312" w:eastAsia="仿宋_GB2312" w:cs="仿宋_GB2312"/>
                <w:color w:val="auto"/>
                <w:kern w:val="0"/>
                <w:sz w:val="30"/>
                <w:szCs w:val="30"/>
                <w:u w:val="none"/>
                <w:lang w:val="en-US" w:eastAsia="zh-CN" w:bidi="ar"/>
              </w:rPr>
              <w:t>在所代理的公共资源交易项目中投标或者代理投标，为所代理的公共资源交易项目的项目响应方参加本项目提供投标咨询。</w:t>
            </w:r>
          </w:p>
        </w:tc>
        <w:tc>
          <w:tcPr>
            <w:tcW w:w="651"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1" w:hRule="exact"/>
        </w:trPr>
        <w:tc>
          <w:tcPr>
            <w:tcW w:w="1177" w:type="pct"/>
            <w:vMerge w:val="continue"/>
            <w:noWrap w:val="0"/>
            <w:vAlign w:val="top"/>
          </w:tcPr>
          <w:p>
            <w:pPr>
              <w:spacing w:line="600" w:lineRule="exact"/>
              <w:jc w:val="both"/>
              <w:rPr>
                <w:rFonts w:hint="eastAsia" w:ascii="仿宋_GB2312" w:hAnsi="仿宋_GB2312" w:eastAsia="仿宋_GB2312" w:cs="仿宋_GB2312"/>
                <w:color w:val="000000"/>
                <w:kern w:val="0"/>
                <w:sz w:val="30"/>
                <w:szCs w:val="30"/>
                <w:u w:val="none"/>
                <w:lang w:val="en-US" w:eastAsia="zh-CN" w:bidi="ar"/>
              </w:rPr>
            </w:pPr>
          </w:p>
        </w:tc>
        <w:tc>
          <w:tcPr>
            <w:tcW w:w="347"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5</w:t>
            </w:r>
          </w:p>
        </w:tc>
        <w:tc>
          <w:tcPr>
            <w:tcW w:w="2822" w:type="pct"/>
            <w:noWrap w:val="0"/>
            <w:vAlign w:val="center"/>
          </w:tcPr>
          <w:p>
            <w:pPr>
              <w:spacing w:line="600" w:lineRule="exact"/>
              <w:jc w:val="both"/>
              <w:rPr>
                <w:rFonts w:hint="eastAsia" w:ascii="仿宋_GB2312" w:hAnsi="仿宋_GB2312" w:eastAsia="仿宋_GB2312" w:cs="仿宋_GB2312"/>
                <w:color w:val="auto"/>
                <w:kern w:val="0"/>
                <w:sz w:val="30"/>
                <w:szCs w:val="30"/>
                <w:u w:val="none"/>
                <w:lang w:val="en-US" w:eastAsia="zh-CN" w:bidi="ar"/>
              </w:rPr>
            </w:pPr>
            <w:r>
              <w:rPr>
                <w:rFonts w:hint="eastAsia" w:ascii="仿宋_GB2312" w:hAnsi="仿宋_GB2312" w:eastAsia="仿宋_GB2312" w:cs="仿宋_GB2312"/>
                <w:color w:val="auto"/>
                <w:kern w:val="0"/>
                <w:sz w:val="30"/>
                <w:szCs w:val="30"/>
                <w:u w:val="none"/>
                <w:lang w:val="en-US" w:eastAsia="zh-CN" w:bidi="ar"/>
              </w:rPr>
              <w:t>对项目响应方的质疑逾期未作处理或者拒收项目响应方法定期限内提出的质疑。</w:t>
            </w:r>
          </w:p>
        </w:tc>
        <w:tc>
          <w:tcPr>
            <w:tcW w:w="651"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5</w:t>
            </w:r>
            <w:bookmarkStart w:id="0" w:name="_GoBack"/>
            <w:bookmarkEnd w:id="0"/>
            <w:r>
              <w:rPr>
                <w:rFonts w:hint="eastAsia" w:ascii="仿宋_GB2312" w:hAnsi="仿宋_GB2312" w:eastAsia="仿宋_GB2312" w:cs="仿宋_GB2312"/>
                <w:color w:val="000000"/>
                <w:kern w:val="0"/>
                <w:sz w:val="30"/>
                <w:szCs w:val="30"/>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5" w:hRule="exact"/>
        </w:trPr>
        <w:tc>
          <w:tcPr>
            <w:tcW w:w="1177"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交易当事人</w:t>
            </w:r>
          </w:p>
        </w:tc>
        <w:tc>
          <w:tcPr>
            <w:tcW w:w="347"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序号</w:t>
            </w:r>
          </w:p>
        </w:tc>
        <w:tc>
          <w:tcPr>
            <w:tcW w:w="2822" w:type="pct"/>
            <w:noWrap w:val="0"/>
            <w:vAlign w:val="center"/>
          </w:tcPr>
          <w:p>
            <w:pPr>
              <w:spacing w:line="600" w:lineRule="exact"/>
              <w:jc w:val="center"/>
              <w:rPr>
                <w:rFonts w:hint="eastAsia" w:ascii="仿宋_GB2312" w:hAnsi="仿宋_GB2312" w:eastAsia="仿宋_GB2312" w:cs="仿宋_GB2312"/>
                <w:color w:val="auto"/>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影响信用评价行为</w:t>
            </w:r>
          </w:p>
        </w:tc>
        <w:tc>
          <w:tcPr>
            <w:tcW w:w="651"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扣除分值（分）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5" w:hRule="exact"/>
        </w:trPr>
        <w:tc>
          <w:tcPr>
            <w:tcW w:w="1177" w:type="pct"/>
            <w:vMerge w:val="restar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中介代理</w:t>
            </w:r>
          </w:p>
        </w:tc>
        <w:tc>
          <w:tcPr>
            <w:tcW w:w="347"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6</w:t>
            </w:r>
          </w:p>
        </w:tc>
        <w:tc>
          <w:tcPr>
            <w:tcW w:w="2822" w:type="pct"/>
            <w:noWrap w:val="0"/>
            <w:vAlign w:val="center"/>
          </w:tcPr>
          <w:p>
            <w:pPr>
              <w:spacing w:line="600" w:lineRule="exact"/>
              <w:jc w:val="both"/>
              <w:rPr>
                <w:rFonts w:hint="eastAsia" w:ascii="仿宋_GB2312" w:hAnsi="仿宋_GB2312" w:eastAsia="仿宋_GB2312" w:cs="仿宋_GB2312"/>
                <w:color w:val="auto"/>
                <w:kern w:val="0"/>
                <w:sz w:val="30"/>
                <w:szCs w:val="30"/>
                <w:u w:val="none"/>
                <w:lang w:val="en-US" w:eastAsia="zh-CN" w:bidi="ar"/>
              </w:rPr>
            </w:pPr>
            <w:r>
              <w:rPr>
                <w:rFonts w:hint="eastAsia" w:ascii="仿宋_GB2312" w:hAnsi="仿宋_GB2312" w:eastAsia="仿宋_GB2312" w:cs="仿宋_GB2312"/>
                <w:color w:val="auto"/>
                <w:kern w:val="0"/>
                <w:sz w:val="30"/>
                <w:szCs w:val="30"/>
                <w:u w:val="none"/>
                <w:lang w:val="en-US" w:eastAsia="zh-CN" w:bidi="ar"/>
              </w:rPr>
              <w:t>拒绝配合行业行政监管部门处理投诉事宜。</w:t>
            </w:r>
          </w:p>
        </w:tc>
        <w:tc>
          <w:tcPr>
            <w:tcW w:w="651"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2" w:hRule="exact"/>
        </w:trPr>
        <w:tc>
          <w:tcPr>
            <w:tcW w:w="1177" w:type="pct"/>
            <w:vMerge w:val="continue"/>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p>
        </w:tc>
        <w:tc>
          <w:tcPr>
            <w:tcW w:w="347"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7</w:t>
            </w:r>
          </w:p>
        </w:tc>
        <w:tc>
          <w:tcPr>
            <w:tcW w:w="2822" w:type="pct"/>
            <w:noWrap w:val="0"/>
            <w:vAlign w:val="center"/>
          </w:tcPr>
          <w:p>
            <w:pPr>
              <w:spacing w:line="600" w:lineRule="exact"/>
              <w:jc w:val="both"/>
              <w:rPr>
                <w:rFonts w:hint="eastAsia" w:ascii="仿宋_GB2312" w:hAnsi="仿宋_GB2312" w:eastAsia="仿宋_GB2312" w:cs="仿宋_GB2312"/>
                <w:color w:val="auto"/>
                <w:kern w:val="0"/>
                <w:sz w:val="30"/>
                <w:szCs w:val="30"/>
                <w:u w:val="none"/>
                <w:lang w:val="en-US" w:eastAsia="zh-CN" w:bidi="ar"/>
              </w:rPr>
            </w:pPr>
            <w:r>
              <w:rPr>
                <w:rFonts w:hint="eastAsia" w:ascii="仿宋_GB2312" w:hAnsi="仿宋_GB2312" w:eastAsia="仿宋_GB2312" w:cs="仿宋_GB2312"/>
                <w:color w:val="auto"/>
                <w:kern w:val="0"/>
                <w:sz w:val="30"/>
                <w:szCs w:val="30"/>
                <w:u w:val="none"/>
                <w:lang w:val="en-US" w:eastAsia="zh-CN" w:bidi="ar"/>
              </w:rPr>
              <w:t>中介代理机构的相关人员与项目响应方有利害关系的，未回避。</w:t>
            </w:r>
          </w:p>
        </w:tc>
        <w:tc>
          <w:tcPr>
            <w:tcW w:w="651"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3" w:hRule="exact"/>
        </w:trPr>
        <w:tc>
          <w:tcPr>
            <w:tcW w:w="1177" w:type="pct"/>
            <w:vMerge w:val="continue"/>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p>
        </w:tc>
        <w:tc>
          <w:tcPr>
            <w:tcW w:w="347"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8</w:t>
            </w:r>
          </w:p>
        </w:tc>
        <w:tc>
          <w:tcPr>
            <w:tcW w:w="2822" w:type="pct"/>
            <w:noWrap w:val="0"/>
            <w:vAlign w:val="center"/>
          </w:tcPr>
          <w:p>
            <w:pPr>
              <w:spacing w:line="600" w:lineRule="exact"/>
              <w:jc w:val="both"/>
              <w:rPr>
                <w:rFonts w:hint="eastAsia" w:ascii="仿宋_GB2312" w:hAnsi="仿宋_GB2312" w:eastAsia="仿宋_GB2312" w:cs="仿宋_GB2312"/>
                <w:color w:val="auto"/>
                <w:kern w:val="0"/>
                <w:sz w:val="30"/>
                <w:szCs w:val="30"/>
                <w:u w:val="none"/>
                <w:lang w:val="en-US" w:eastAsia="zh-CN" w:bidi="ar"/>
              </w:rPr>
            </w:pPr>
            <w:r>
              <w:rPr>
                <w:rFonts w:hint="eastAsia" w:ascii="仿宋_GB2312" w:hAnsi="仿宋_GB2312" w:eastAsia="仿宋_GB2312" w:cs="仿宋_GB2312"/>
                <w:color w:val="auto"/>
                <w:kern w:val="0"/>
                <w:sz w:val="30"/>
                <w:szCs w:val="30"/>
                <w:u w:val="none"/>
                <w:lang w:val="en-US" w:eastAsia="zh-CN" w:bidi="ar"/>
              </w:rPr>
              <w:t>中介代理机构工作人员对公共资源各项法律法规和规章制度的掌握不熟练，影响进场交易项目进行。</w:t>
            </w:r>
          </w:p>
        </w:tc>
        <w:tc>
          <w:tcPr>
            <w:tcW w:w="651"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6" w:hRule="exact"/>
        </w:trPr>
        <w:tc>
          <w:tcPr>
            <w:tcW w:w="1177" w:type="pct"/>
            <w:vMerge w:val="continue"/>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p>
        </w:tc>
        <w:tc>
          <w:tcPr>
            <w:tcW w:w="347"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9</w:t>
            </w:r>
          </w:p>
        </w:tc>
        <w:tc>
          <w:tcPr>
            <w:tcW w:w="2822" w:type="pct"/>
            <w:noWrap w:val="0"/>
            <w:vAlign w:val="center"/>
          </w:tcPr>
          <w:p>
            <w:pPr>
              <w:spacing w:line="600" w:lineRule="exact"/>
              <w:jc w:val="both"/>
              <w:rPr>
                <w:rFonts w:hint="eastAsia" w:ascii="仿宋_GB2312" w:hAnsi="仿宋_GB2312" w:eastAsia="仿宋_GB2312" w:cs="仿宋_GB2312"/>
                <w:color w:val="auto"/>
                <w:kern w:val="0"/>
                <w:sz w:val="30"/>
                <w:szCs w:val="30"/>
                <w:u w:val="none"/>
                <w:lang w:val="en-US" w:eastAsia="zh-CN" w:bidi="ar"/>
              </w:rPr>
            </w:pPr>
            <w:r>
              <w:rPr>
                <w:rFonts w:hint="eastAsia" w:ascii="仿宋_GB2312" w:hAnsi="仿宋_GB2312" w:eastAsia="仿宋_GB2312" w:cs="仿宋_GB2312"/>
                <w:color w:val="auto"/>
                <w:kern w:val="0"/>
                <w:sz w:val="30"/>
                <w:szCs w:val="30"/>
                <w:u w:val="none"/>
                <w:lang w:val="en-US" w:eastAsia="zh-CN" w:bidi="ar"/>
              </w:rPr>
              <w:t>中介代理机构工作人员服务过程不够细致耐心，执行不够严格规范。</w:t>
            </w:r>
          </w:p>
        </w:tc>
        <w:tc>
          <w:tcPr>
            <w:tcW w:w="651"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6" w:hRule="exact"/>
        </w:trPr>
        <w:tc>
          <w:tcPr>
            <w:tcW w:w="1177" w:type="pct"/>
            <w:vMerge w:val="continue"/>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p>
        </w:tc>
        <w:tc>
          <w:tcPr>
            <w:tcW w:w="347"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10</w:t>
            </w:r>
          </w:p>
        </w:tc>
        <w:tc>
          <w:tcPr>
            <w:tcW w:w="2822" w:type="pct"/>
            <w:noWrap w:val="0"/>
            <w:vAlign w:val="center"/>
          </w:tcPr>
          <w:p>
            <w:pPr>
              <w:spacing w:line="600" w:lineRule="exact"/>
              <w:jc w:val="both"/>
              <w:rPr>
                <w:rFonts w:hint="eastAsia" w:ascii="仿宋_GB2312" w:hAnsi="仿宋_GB2312" w:eastAsia="仿宋_GB2312" w:cs="仿宋_GB2312"/>
                <w:color w:val="auto"/>
                <w:kern w:val="0"/>
                <w:sz w:val="30"/>
                <w:szCs w:val="30"/>
                <w:u w:val="none"/>
                <w:lang w:val="en-US" w:eastAsia="zh-CN" w:bidi="ar"/>
              </w:rPr>
            </w:pPr>
            <w:r>
              <w:rPr>
                <w:rFonts w:hint="eastAsia" w:ascii="仿宋_GB2312" w:hAnsi="仿宋_GB2312" w:eastAsia="仿宋_GB2312" w:cs="仿宋_GB2312"/>
                <w:color w:val="auto"/>
                <w:kern w:val="0"/>
                <w:sz w:val="30"/>
                <w:szCs w:val="30"/>
                <w:u w:val="none"/>
                <w:lang w:val="en-US" w:eastAsia="zh-CN" w:bidi="ar"/>
              </w:rPr>
              <w:t>超越代理权限办理公共资源交易事宜。</w:t>
            </w:r>
          </w:p>
        </w:tc>
        <w:tc>
          <w:tcPr>
            <w:tcW w:w="651"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4" w:hRule="exact"/>
        </w:trPr>
        <w:tc>
          <w:tcPr>
            <w:tcW w:w="1177" w:type="pct"/>
            <w:vMerge w:val="continue"/>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p>
        </w:tc>
        <w:tc>
          <w:tcPr>
            <w:tcW w:w="347"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11</w:t>
            </w:r>
          </w:p>
        </w:tc>
        <w:tc>
          <w:tcPr>
            <w:tcW w:w="2822" w:type="pct"/>
            <w:noWrap w:val="0"/>
            <w:vAlign w:val="center"/>
          </w:tcPr>
          <w:p>
            <w:pPr>
              <w:spacing w:line="600" w:lineRule="exact"/>
              <w:jc w:val="both"/>
              <w:rPr>
                <w:rFonts w:hint="eastAsia" w:ascii="仿宋_GB2312" w:hAnsi="仿宋_GB2312" w:eastAsia="仿宋_GB2312" w:cs="仿宋_GB2312"/>
                <w:color w:val="auto"/>
                <w:kern w:val="0"/>
                <w:sz w:val="30"/>
                <w:szCs w:val="30"/>
                <w:u w:val="none"/>
                <w:lang w:val="en-US" w:eastAsia="zh-CN" w:bidi="ar"/>
              </w:rPr>
            </w:pPr>
            <w:r>
              <w:rPr>
                <w:rFonts w:hint="eastAsia" w:ascii="仿宋_GB2312" w:hAnsi="仿宋_GB2312" w:eastAsia="仿宋_GB2312" w:cs="仿宋_GB2312"/>
                <w:color w:val="auto"/>
                <w:kern w:val="0"/>
                <w:sz w:val="30"/>
                <w:szCs w:val="30"/>
                <w:u w:val="none"/>
                <w:lang w:val="en-US" w:eastAsia="zh-CN" w:bidi="ar"/>
              </w:rPr>
              <w:t>预约交易时间及场地不能按时进行交易，未及时通知交易中心。</w:t>
            </w:r>
          </w:p>
        </w:tc>
        <w:tc>
          <w:tcPr>
            <w:tcW w:w="651"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exact"/>
        </w:trPr>
        <w:tc>
          <w:tcPr>
            <w:tcW w:w="1177" w:type="pct"/>
            <w:vMerge w:val="continue"/>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p>
        </w:tc>
        <w:tc>
          <w:tcPr>
            <w:tcW w:w="347"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12</w:t>
            </w:r>
          </w:p>
        </w:tc>
        <w:tc>
          <w:tcPr>
            <w:tcW w:w="2822" w:type="pct"/>
            <w:noWrap w:val="0"/>
            <w:vAlign w:val="center"/>
          </w:tcPr>
          <w:p>
            <w:pPr>
              <w:spacing w:line="600" w:lineRule="exact"/>
              <w:jc w:val="both"/>
              <w:rPr>
                <w:rFonts w:hint="eastAsia" w:ascii="仿宋_GB2312" w:hAnsi="仿宋_GB2312" w:eastAsia="仿宋_GB2312" w:cs="仿宋_GB2312"/>
                <w:color w:val="auto"/>
                <w:kern w:val="0"/>
                <w:sz w:val="30"/>
                <w:szCs w:val="30"/>
                <w:u w:val="none"/>
                <w:lang w:val="en-US" w:eastAsia="zh-CN" w:bidi="ar"/>
              </w:rPr>
            </w:pPr>
            <w:r>
              <w:rPr>
                <w:rFonts w:hint="eastAsia" w:ascii="仿宋_GB2312" w:hAnsi="仿宋_GB2312" w:eastAsia="仿宋_GB2312" w:cs="仿宋_GB2312"/>
                <w:color w:val="auto"/>
                <w:kern w:val="0"/>
                <w:sz w:val="30"/>
                <w:szCs w:val="30"/>
                <w:u w:val="none"/>
                <w:lang w:val="en-US" w:eastAsia="zh-CN" w:bidi="ar"/>
              </w:rPr>
              <w:t>未按照规定进行开标</w:t>
            </w:r>
            <w:r>
              <w:rPr>
                <w:rFonts w:hint="default" w:ascii="仿宋_GB2312" w:hAnsi="仿宋_GB2312" w:eastAsia="仿宋_GB2312" w:cs="仿宋_GB2312"/>
                <w:color w:val="auto"/>
                <w:kern w:val="0"/>
                <w:sz w:val="30"/>
                <w:szCs w:val="30"/>
                <w:u w:val="none"/>
                <w:lang w:eastAsia="zh-CN" w:bidi="ar"/>
              </w:rPr>
              <w:t>。</w:t>
            </w:r>
          </w:p>
        </w:tc>
        <w:tc>
          <w:tcPr>
            <w:tcW w:w="651"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5" w:hRule="exact"/>
        </w:trPr>
        <w:tc>
          <w:tcPr>
            <w:tcW w:w="1177" w:type="pct"/>
            <w:vMerge w:val="continue"/>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p>
        </w:tc>
        <w:tc>
          <w:tcPr>
            <w:tcW w:w="347"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13</w:t>
            </w:r>
          </w:p>
        </w:tc>
        <w:tc>
          <w:tcPr>
            <w:tcW w:w="2822" w:type="pct"/>
            <w:noWrap w:val="0"/>
            <w:vAlign w:val="center"/>
          </w:tcPr>
          <w:p>
            <w:pPr>
              <w:spacing w:line="600" w:lineRule="exact"/>
              <w:jc w:val="both"/>
              <w:rPr>
                <w:rFonts w:hint="eastAsia" w:ascii="仿宋_GB2312" w:hAnsi="仿宋_GB2312" w:eastAsia="仿宋_GB2312" w:cs="仿宋_GB2312"/>
                <w:color w:val="auto"/>
                <w:kern w:val="0"/>
                <w:sz w:val="30"/>
                <w:szCs w:val="30"/>
                <w:u w:val="none"/>
                <w:lang w:val="en-US" w:eastAsia="zh-CN" w:bidi="ar"/>
              </w:rPr>
            </w:pPr>
            <w:r>
              <w:rPr>
                <w:rFonts w:hint="eastAsia" w:ascii="仿宋_GB2312" w:hAnsi="仿宋_GB2312" w:eastAsia="仿宋_GB2312" w:cs="仿宋_GB2312"/>
                <w:color w:val="auto"/>
                <w:kern w:val="0"/>
                <w:sz w:val="30"/>
                <w:szCs w:val="30"/>
                <w:u w:val="none"/>
                <w:lang w:val="en-US" w:eastAsia="zh-CN" w:bidi="ar"/>
              </w:rPr>
              <w:t>除必要的原件核对外，对于项目响应方能够在线提供的材料，代理机构要求项目响应方同时提供纸质材料。</w:t>
            </w:r>
          </w:p>
        </w:tc>
        <w:tc>
          <w:tcPr>
            <w:tcW w:w="651"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exact"/>
        </w:trPr>
        <w:tc>
          <w:tcPr>
            <w:tcW w:w="1177" w:type="pct"/>
            <w:vMerge w:val="continue"/>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p>
        </w:tc>
        <w:tc>
          <w:tcPr>
            <w:tcW w:w="347"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14</w:t>
            </w:r>
          </w:p>
        </w:tc>
        <w:tc>
          <w:tcPr>
            <w:tcW w:w="2822" w:type="pct"/>
            <w:noWrap w:val="0"/>
            <w:vAlign w:val="center"/>
          </w:tcPr>
          <w:p>
            <w:pPr>
              <w:spacing w:line="600" w:lineRule="exact"/>
              <w:jc w:val="both"/>
              <w:rPr>
                <w:rFonts w:hint="eastAsia" w:ascii="仿宋_GB2312" w:hAnsi="仿宋_GB2312" w:eastAsia="仿宋_GB2312" w:cs="仿宋_GB2312"/>
                <w:color w:val="auto"/>
                <w:kern w:val="0"/>
                <w:sz w:val="30"/>
                <w:szCs w:val="30"/>
                <w:u w:val="none"/>
                <w:lang w:val="en-US" w:eastAsia="zh-CN" w:bidi="ar"/>
              </w:rPr>
            </w:pPr>
            <w:r>
              <w:rPr>
                <w:rFonts w:hint="eastAsia" w:ascii="仿宋_GB2312" w:hAnsi="仿宋_GB2312" w:eastAsia="仿宋_GB2312" w:cs="仿宋_GB2312"/>
                <w:color w:val="auto"/>
                <w:kern w:val="0"/>
                <w:sz w:val="30"/>
                <w:szCs w:val="30"/>
                <w:u w:val="none"/>
                <w:lang w:val="en-US" w:eastAsia="zh-CN" w:bidi="ar"/>
              </w:rPr>
              <w:t>交易文件编制不规范、不完整。</w:t>
            </w:r>
          </w:p>
        </w:tc>
        <w:tc>
          <w:tcPr>
            <w:tcW w:w="651"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7" w:hRule="exact"/>
        </w:trPr>
        <w:tc>
          <w:tcPr>
            <w:tcW w:w="1177" w:type="pct"/>
            <w:vMerge w:val="continue"/>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p>
        </w:tc>
        <w:tc>
          <w:tcPr>
            <w:tcW w:w="347"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15</w:t>
            </w:r>
          </w:p>
        </w:tc>
        <w:tc>
          <w:tcPr>
            <w:tcW w:w="2822" w:type="pct"/>
            <w:noWrap w:val="0"/>
            <w:vAlign w:val="center"/>
          </w:tcPr>
          <w:p>
            <w:pPr>
              <w:spacing w:line="600" w:lineRule="exact"/>
              <w:jc w:val="both"/>
              <w:rPr>
                <w:rFonts w:hint="eastAsia" w:ascii="仿宋_GB2312" w:hAnsi="仿宋_GB2312" w:eastAsia="仿宋_GB2312" w:cs="仿宋_GB2312"/>
                <w:color w:val="auto"/>
                <w:kern w:val="0"/>
                <w:sz w:val="30"/>
                <w:szCs w:val="30"/>
                <w:u w:val="none"/>
                <w:lang w:val="en-US" w:eastAsia="zh-CN" w:bidi="ar"/>
              </w:rPr>
            </w:pPr>
            <w:r>
              <w:rPr>
                <w:rFonts w:hint="eastAsia" w:ascii="仿宋_GB2312" w:hAnsi="仿宋_GB2312" w:eastAsia="仿宋_GB2312" w:cs="仿宋_GB2312"/>
                <w:color w:val="auto"/>
                <w:kern w:val="0"/>
                <w:sz w:val="30"/>
                <w:szCs w:val="30"/>
                <w:u w:val="none"/>
                <w:lang w:val="en-US" w:eastAsia="zh-CN" w:bidi="ar"/>
              </w:rPr>
              <w:t>其他违法违规情形。</w:t>
            </w:r>
          </w:p>
        </w:tc>
        <w:tc>
          <w:tcPr>
            <w:tcW w:w="651"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0" w:hRule="exact"/>
        </w:trPr>
        <w:tc>
          <w:tcPr>
            <w:tcW w:w="1177"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交易当事人</w:t>
            </w:r>
          </w:p>
        </w:tc>
        <w:tc>
          <w:tcPr>
            <w:tcW w:w="347"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序号</w:t>
            </w:r>
          </w:p>
        </w:tc>
        <w:tc>
          <w:tcPr>
            <w:tcW w:w="2822" w:type="pct"/>
            <w:noWrap w:val="0"/>
            <w:vAlign w:val="center"/>
          </w:tcPr>
          <w:p>
            <w:pPr>
              <w:spacing w:line="600" w:lineRule="exact"/>
              <w:jc w:val="center"/>
              <w:rPr>
                <w:rFonts w:hint="eastAsia" w:ascii="仿宋_GB2312" w:hAnsi="仿宋_GB2312" w:eastAsia="仿宋_GB2312" w:cs="仿宋_GB2312"/>
                <w:color w:val="auto"/>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影响信用评价行为</w:t>
            </w:r>
          </w:p>
        </w:tc>
        <w:tc>
          <w:tcPr>
            <w:tcW w:w="651"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扣除分值（分）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4" w:hRule="exact"/>
        </w:trPr>
        <w:tc>
          <w:tcPr>
            <w:tcW w:w="1177" w:type="pct"/>
            <w:vMerge w:val="restart"/>
            <w:noWrap w:val="0"/>
            <w:vAlign w:val="center"/>
          </w:tcPr>
          <w:p>
            <w:pPr>
              <w:spacing w:line="600" w:lineRule="exact"/>
              <w:jc w:val="left"/>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投标人、供应商、竞买人等项目响应方</w:t>
            </w:r>
          </w:p>
          <w:p>
            <w:pPr>
              <w:spacing w:line="600" w:lineRule="exact"/>
              <w:jc w:val="left"/>
              <w:rPr>
                <w:rFonts w:hint="default" w:ascii="仿宋_GB2312" w:hAnsi="仿宋_GB2312" w:eastAsia="仿宋_GB2312" w:cs="仿宋_GB2312"/>
                <w:color w:val="000000"/>
                <w:kern w:val="0"/>
                <w:sz w:val="30"/>
                <w:szCs w:val="30"/>
                <w:u w:val="none"/>
                <w:lang w:val="en-US" w:eastAsia="zh-CN" w:bidi="ar"/>
              </w:rPr>
            </w:pPr>
          </w:p>
        </w:tc>
        <w:tc>
          <w:tcPr>
            <w:tcW w:w="347"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1</w:t>
            </w:r>
          </w:p>
        </w:tc>
        <w:tc>
          <w:tcPr>
            <w:tcW w:w="2822" w:type="pct"/>
            <w:noWrap w:val="0"/>
            <w:vAlign w:val="center"/>
          </w:tcPr>
          <w:p>
            <w:pPr>
              <w:spacing w:line="600" w:lineRule="exact"/>
              <w:jc w:val="both"/>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auto"/>
                <w:kern w:val="0"/>
                <w:sz w:val="30"/>
                <w:szCs w:val="30"/>
                <w:u w:val="none"/>
                <w:lang w:val="en-US" w:eastAsia="zh-CN" w:bidi="ar"/>
              </w:rPr>
              <w:t>向评标委员会成员行贿或者提供其他不正当利益。</w:t>
            </w:r>
          </w:p>
        </w:tc>
        <w:tc>
          <w:tcPr>
            <w:tcW w:w="651"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6" w:hRule="exact"/>
        </w:trPr>
        <w:tc>
          <w:tcPr>
            <w:tcW w:w="1177" w:type="pct"/>
            <w:vMerge w:val="continue"/>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p>
        </w:tc>
        <w:tc>
          <w:tcPr>
            <w:tcW w:w="347"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2</w:t>
            </w:r>
          </w:p>
        </w:tc>
        <w:tc>
          <w:tcPr>
            <w:tcW w:w="2822" w:type="pct"/>
            <w:noWrap w:val="0"/>
            <w:vAlign w:val="center"/>
          </w:tcPr>
          <w:p>
            <w:pPr>
              <w:spacing w:line="600" w:lineRule="exact"/>
              <w:jc w:val="both"/>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auto"/>
                <w:kern w:val="0"/>
                <w:sz w:val="30"/>
                <w:szCs w:val="30"/>
                <w:u w:val="none"/>
                <w:lang w:val="en-US" w:eastAsia="zh-CN" w:bidi="ar"/>
              </w:rPr>
              <w:t>与项目发起方、其他项目响应方或者中介代理机构恶意串通。</w:t>
            </w:r>
          </w:p>
        </w:tc>
        <w:tc>
          <w:tcPr>
            <w:tcW w:w="651"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exact"/>
        </w:trPr>
        <w:tc>
          <w:tcPr>
            <w:tcW w:w="1177" w:type="pct"/>
            <w:vMerge w:val="continue"/>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p>
        </w:tc>
        <w:tc>
          <w:tcPr>
            <w:tcW w:w="347"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3</w:t>
            </w:r>
          </w:p>
        </w:tc>
        <w:tc>
          <w:tcPr>
            <w:tcW w:w="2822" w:type="pct"/>
            <w:noWrap w:val="0"/>
            <w:vAlign w:val="center"/>
          </w:tcPr>
          <w:p>
            <w:pPr>
              <w:spacing w:line="600" w:lineRule="exact"/>
              <w:jc w:val="both"/>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auto"/>
                <w:kern w:val="0"/>
                <w:sz w:val="30"/>
                <w:szCs w:val="30"/>
                <w:u w:val="none"/>
                <w:lang w:val="en-US" w:eastAsia="zh-CN" w:bidi="ar"/>
              </w:rPr>
              <w:t>无正当理由放弃中标、成交资格。</w:t>
            </w:r>
          </w:p>
        </w:tc>
        <w:tc>
          <w:tcPr>
            <w:tcW w:w="651"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exact"/>
        </w:trPr>
        <w:tc>
          <w:tcPr>
            <w:tcW w:w="1177" w:type="pct"/>
            <w:vMerge w:val="continue"/>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p>
        </w:tc>
        <w:tc>
          <w:tcPr>
            <w:tcW w:w="347"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4</w:t>
            </w:r>
          </w:p>
        </w:tc>
        <w:tc>
          <w:tcPr>
            <w:tcW w:w="2822" w:type="pct"/>
            <w:noWrap w:val="0"/>
            <w:vAlign w:val="center"/>
          </w:tcPr>
          <w:p>
            <w:pPr>
              <w:spacing w:line="600" w:lineRule="exact"/>
              <w:jc w:val="both"/>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auto"/>
                <w:kern w:val="0"/>
                <w:sz w:val="30"/>
                <w:szCs w:val="30"/>
                <w:u w:val="none"/>
                <w:lang w:val="en-US" w:eastAsia="zh-CN" w:bidi="ar"/>
              </w:rPr>
              <w:t>提供虚假材料谋取中标、成交。</w:t>
            </w:r>
          </w:p>
        </w:tc>
        <w:tc>
          <w:tcPr>
            <w:tcW w:w="651"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8" w:hRule="exact"/>
        </w:trPr>
        <w:tc>
          <w:tcPr>
            <w:tcW w:w="1177" w:type="pct"/>
            <w:vMerge w:val="continue"/>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p>
        </w:tc>
        <w:tc>
          <w:tcPr>
            <w:tcW w:w="347"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5</w:t>
            </w:r>
          </w:p>
        </w:tc>
        <w:tc>
          <w:tcPr>
            <w:tcW w:w="2822" w:type="pct"/>
            <w:noWrap w:val="0"/>
            <w:vAlign w:val="center"/>
          </w:tcPr>
          <w:p>
            <w:pPr>
              <w:spacing w:line="600" w:lineRule="exact"/>
              <w:jc w:val="both"/>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auto"/>
                <w:kern w:val="0"/>
                <w:sz w:val="30"/>
                <w:szCs w:val="30"/>
                <w:u w:val="none"/>
                <w:lang w:val="en-US" w:eastAsia="zh-CN" w:bidi="ar"/>
              </w:rPr>
              <w:t>中标或者成交后无正当理由拒不与项目发起方签订合同。</w:t>
            </w:r>
          </w:p>
        </w:tc>
        <w:tc>
          <w:tcPr>
            <w:tcW w:w="651"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4" w:hRule="exact"/>
        </w:trPr>
        <w:tc>
          <w:tcPr>
            <w:tcW w:w="1177" w:type="pct"/>
            <w:vMerge w:val="continue"/>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p>
        </w:tc>
        <w:tc>
          <w:tcPr>
            <w:tcW w:w="347"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6</w:t>
            </w:r>
          </w:p>
        </w:tc>
        <w:tc>
          <w:tcPr>
            <w:tcW w:w="2822" w:type="pct"/>
            <w:noWrap w:val="0"/>
            <w:vAlign w:val="center"/>
          </w:tcPr>
          <w:p>
            <w:pPr>
              <w:spacing w:line="600" w:lineRule="exact"/>
              <w:jc w:val="both"/>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auto"/>
                <w:kern w:val="0"/>
                <w:sz w:val="30"/>
                <w:szCs w:val="30"/>
                <w:u w:val="none"/>
                <w:lang w:val="en-US" w:eastAsia="zh-CN" w:bidi="ar"/>
              </w:rPr>
              <w:t>无确凿证据，对交易中心及其工作人员恶意投诉。</w:t>
            </w:r>
          </w:p>
        </w:tc>
        <w:tc>
          <w:tcPr>
            <w:tcW w:w="651"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9" w:hRule="exact"/>
        </w:trPr>
        <w:tc>
          <w:tcPr>
            <w:tcW w:w="1177" w:type="pct"/>
            <w:vMerge w:val="continue"/>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p>
        </w:tc>
        <w:tc>
          <w:tcPr>
            <w:tcW w:w="347"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7</w:t>
            </w:r>
          </w:p>
        </w:tc>
        <w:tc>
          <w:tcPr>
            <w:tcW w:w="2822" w:type="pct"/>
            <w:noWrap w:val="0"/>
            <w:vAlign w:val="center"/>
          </w:tcPr>
          <w:p>
            <w:pPr>
              <w:spacing w:line="600" w:lineRule="exact"/>
              <w:jc w:val="both"/>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auto"/>
                <w:kern w:val="0"/>
                <w:sz w:val="30"/>
                <w:szCs w:val="30"/>
                <w:u w:val="none"/>
                <w:lang w:val="en-US" w:eastAsia="zh-CN" w:bidi="ar"/>
              </w:rPr>
              <w:t>与项目发起方或者中介代理机构之间、项目响应方相互之间，为谋求特定项目响应方中标、成交或者排斥其他项目响应方的其他串通行为。</w:t>
            </w:r>
          </w:p>
        </w:tc>
        <w:tc>
          <w:tcPr>
            <w:tcW w:w="651"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5" w:hRule="exact"/>
        </w:trPr>
        <w:tc>
          <w:tcPr>
            <w:tcW w:w="1177" w:type="pct"/>
            <w:vMerge w:val="continue"/>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p>
        </w:tc>
        <w:tc>
          <w:tcPr>
            <w:tcW w:w="347"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8</w:t>
            </w:r>
          </w:p>
        </w:tc>
        <w:tc>
          <w:tcPr>
            <w:tcW w:w="2822" w:type="pct"/>
            <w:noWrap w:val="0"/>
            <w:vAlign w:val="center"/>
          </w:tcPr>
          <w:p>
            <w:pPr>
              <w:spacing w:line="600" w:lineRule="exact"/>
              <w:jc w:val="both"/>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auto"/>
                <w:kern w:val="0"/>
                <w:sz w:val="30"/>
                <w:szCs w:val="30"/>
                <w:u w:val="none"/>
                <w:lang w:val="en-US" w:eastAsia="zh-CN" w:bidi="ar"/>
              </w:rPr>
              <w:t>经专家及行政监管部门论证，恶意低价竞标。</w:t>
            </w:r>
          </w:p>
        </w:tc>
        <w:tc>
          <w:tcPr>
            <w:tcW w:w="651"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5" w:hRule="exact"/>
        </w:trPr>
        <w:tc>
          <w:tcPr>
            <w:tcW w:w="1177" w:type="pct"/>
            <w:vMerge w:val="continue"/>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p>
        </w:tc>
        <w:tc>
          <w:tcPr>
            <w:tcW w:w="347"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9</w:t>
            </w:r>
          </w:p>
        </w:tc>
        <w:tc>
          <w:tcPr>
            <w:tcW w:w="2822" w:type="pct"/>
            <w:noWrap w:val="0"/>
            <w:vAlign w:val="center"/>
          </w:tcPr>
          <w:p>
            <w:pPr>
              <w:spacing w:line="600" w:lineRule="exact"/>
              <w:jc w:val="both"/>
              <w:rPr>
                <w:rFonts w:hint="eastAsia" w:ascii="仿宋_GB2312" w:hAnsi="仿宋_GB2312" w:eastAsia="仿宋_GB2312" w:cs="仿宋_GB2312"/>
                <w:color w:val="auto"/>
                <w:kern w:val="0"/>
                <w:sz w:val="30"/>
                <w:szCs w:val="30"/>
                <w:u w:val="none"/>
                <w:lang w:val="en-US" w:eastAsia="zh-CN" w:bidi="ar"/>
              </w:rPr>
            </w:pPr>
            <w:r>
              <w:rPr>
                <w:rFonts w:hint="eastAsia" w:ascii="仿宋_GB2312" w:hAnsi="仿宋_GB2312" w:eastAsia="仿宋_GB2312" w:cs="仿宋_GB2312"/>
                <w:color w:val="auto"/>
                <w:kern w:val="0"/>
                <w:sz w:val="30"/>
                <w:szCs w:val="30"/>
                <w:u w:val="none"/>
                <w:lang w:val="en-US" w:eastAsia="zh-CN" w:bidi="ar"/>
              </w:rPr>
              <w:t>获取招标文件后进行质疑，但不递交响应文件参与投标活动。</w:t>
            </w:r>
          </w:p>
        </w:tc>
        <w:tc>
          <w:tcPr>
            <w:tcW w:w="651"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20</w:t>
            </w:r>
          </w:p>
        </w:tc>
      </w:tr>
    </w:tbl>
    <w:p/>
    <w:tbl>
      <w:tblPr>
        <w:tblStyle w:val="4"/>
        <w:tblpPr w:leftFromText="180" w:rightFromText="180" w:vertAnchor="text" w:horzAnchor="page" w:tblpX="1813" w:tblpY="303"/>
        <w:tblOverlap w:val="never"/>
        <w:tblW w:w="517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9"/>
        <w:gridCol w:w="859"/>
        <w:gridCol w:w="4669"/>
        <w:gridCol w:w="11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0" w:hRule="exact"/>
        </w:trPr>
        <w:tc>
          <w:tcPr>
            <w:tcW w:w="1185"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交易当事人</w:t>
            </w:r>
          </w:p>
        </w:tc>
        <w:tc>
          <w:tcPr>
            <w:tcW w:w="487"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序号</w:t>
            </w:r>
          </w:p>
        </w:tc>
        <w:tc>
          <w:tcPr>
            <w:tcW w:w="2649" w:type="pct"/>
            <w:noWrap w:val="0"/>
            <w:vAlign w:val="center"/>
          </w:tcPr>
          <w:p>
            <w:pPr>
              <w:spacing w:line="600" w:lineRule="exact"/>
              <w:jc w:val="center"/>
              <w:rPr>
                <w:rFonts w:hint="eastAsia" w:ascii="仿宋_GB2312" w:hAnsi="仿宋_GB2312" w:eastAsia="仿宋_GB2312" w:cs="仿宋_GB2312"/>
                <w:color w:val="auto"/>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影响信用评价行为</w:t>
            </w:r>
          </w:p>
        </w:tc>
        <w:tc>
          <w:tcPr>
            <w:tcW w:w="678"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扣除分值（分）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exact"/>
        </w:trPr>
        <w:tc>
          <w:tcPr>
            <w:tcW w:w="1185" w:type="pct"/>
            <w:vMerge w:val="restart"/>
            <w:noWrap w:val="0"/>
            <w:vAlign w:val="center"/>
          </w:tcPr>
          <w:p>
            <w:pPr>
              <w:spacing w:line="600" w:lineRule="exact"/>
              <w:jc w:val="left"/>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投标人、供应商、竞买人等项目响应方</w:t>
            </w:r>
          </w:p>
          <w:p>
            <w:pPr>
              <w:spacing w:line="600" w:lineRule="exact"/>
              <w:jc w:val="center"/>
              <w:rPr>
                <w:rFonts w:hint="eastAsia" w:ascii="仿宋_GB2312" w:hAnsi="仿宋_GB2312" w:eastAsia="仿宋_GB2312" w:cs="仿宋_GB2312"/>
                <w:color w:val="000000"/>
                <w:kern w:val="0"/>
                <w:sz w:val="30"/>
                <w:szCs w:val="30"/>
                <w:u w:val="none"/>
                <w:lang w:val="en-US" w:eastAsia="zh-CN" w:bidi="ar"/>
              </w:rPr>
            </w:pPr>
          </w:p>
        </w:tc>
        <w:tc>
          <w:tcPr>
            <w:tcW w:w="487"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10</w:t>
            </w:r>
          </w:p>
        </w:tc>
        <w:tc>
          <w:tcPr>
            <w:tcW w:w="2649" w:type="pct"/>
            <w:noWrap w:val="0"/>
            <w:vAlign w:val="center"/>
          </w:tcPr>
          <w:p>
            <w:pPr>
              <w:spacing w:line="600" w:lineRule="exact"/>
              <w:jc w:val="both"/>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auto"/>
                <w:kern w:val="0"/>
                <w:sz w:val="30"/>
                <w:szCs w:val="30"/>
                <w:u w:val="none"/>
                <w:lang w:val="en-US" w:eastAsia="zh-CN" w:bidi="ar"/>
              </w:rPr>
              <w:t>对自己提出质疑、投诉。</w:t>
            </w:r>
          </w:p>
        </w:tc>
        <w:tc>
          <w:tcPr>
            <w:tcW w:w="678"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5" w:hRule="exact"/>
        </w:trPr>
        <w:tc>
          <w:tcPr>
            <w:tcW w:w="1185" w:type="pct"/>
            <w:vMerge w:val="continue"/>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p>
        </w:tc>
        <w:tc>
          <w:tcPr>
            <w:tcW w:w="487"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11</w:t>
            </w:r>
          </w:p>
        </w:tc>
        <w:tc>
          <w:tcPr>
            <w:tcW w:w="2649" w:type="pct"/>
            <w:noWrap w:val="0"/>
            <w:vAlign w:val="center"/>
          </w:tcPr>
          <w:p>
            <w:pPr>
              <w:spacing w:line="600" w:lineRule="exact"/>
              <w:jc w:val="both"/>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恶意或为谋取不当利益质疑、投诉，干扰</w:t>
            </w:r>
            <w:r>
              <w:rPr>
                <w:rFonts w:hint="default" w:ascii="仿宋_GB2312" w:hAnsi="仿宋_GB2312" w:eastAsia="仿宋_GB2312" w:cs="仿宋_GB2312"/>
                <w:color w:val="000000"/>
                <w:kern w:val="0"/>
                <w:sz w:val="30"/>
                <w:szCs w:val="30"/>
                <w:u w:val="none"/>
                <w:lang w:eastAsia="zh-CN" w:bidi="ar"/>
              </w:rPr>
              <w:t>交易</w:t>
            </w:r>
            <w:r>
              <w:rPr>
                <w:rFonts w:hint="eastAsia" w:ascii="仿宋_GB2312" w:hAnsi="仿宋_GB2312" w:eastAsia="仿宋_GB2312" w:cs="仿宋_GB2312"/>
                <w:color w:val="000000"/>
                <w:kern w:val="0"/>
                <w:sz w:val="30"/>
                <w:szCs w:val="30"/>
                <w:u w:val="none"/>
                <w:lang w:val="en-US" w:eastAsia="zh-CN" w:bidi="ar"/>
              </w:rPr>
              <w:t>活动正常进行。</w:t>
            </w:r>
          </w:p>
        </w:tc>
        <w:tc>
          <w:tcPr>
            <w:tcW w:w="678"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1" w:hRule="exact"/>
        </w:trPr>
        <w:tc>
          <w:tcPr>
            <w:tcW w:w="1185" w:type="pct"/>
            <w:vMerge w:val="continue"/>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p>
        </w:tc>
        <w:tc>
          <w:tcPr>
            <w:tcW w:w="487"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12</w:t>
            </w:r>
          </w:p>
        </w:tc>
        <w:tc>
          <w:tcPr>
            <w:tcW w:w="2649" w:type="pct"/>
            <w:noWrap w:val="0"/>
            <w:vAlign w:val="center"/>
          </w:tcPr>
          <w:p>
            <w:pPr>
              <w:spacing w:line="600" w:lineRule="exact"/>
              <w:jc w:val="both"/>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中标后不及时、足额按招标文件要求提交履约保证金。</w:t>
            </w:r>
          </w:p>
        </w:tc>
        <w:tc>
          <w:tcPr>
            <w:tcW w:w="678"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7" w:hRule="exact"/>
        </w:trPr>
        <w:tc>
          <w:tcPr>
            <w:tcW w:w="1185" w:type="pct"/>
            <w:vMerge w:val="restart"/>
            <w:noWrap w:val="0"/>
            <w:vAlign w:val="center"/>
          </w:tcPr>
          <w:p>
            <w:pPr>
              <w:spacing w:line="600" w:lineRule="exact"/>
              <w:jc w:val="left"/>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评标评审专家</w:t>
            </w:r>
          </w:p>
        </w:tc>
        <w:tc>
          <w:tcPr>
            <w:tcW w:w="487"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1</w:t>
            </w:r>
          </w:p>
        </w:tc>
        <w:tc>
          <w:tcPr>
            <w:tcW w:w="2649" w:type="pct"/>
            <w:noWrap w:val="0"/>
            <w:vAlign w:val="center"/>
          </w:tcPr>
          <w:p>
            <w:pPr>
              <w:spacing w:line="600" w:lineRule="exact"/>
              <w:jc w:val="both"/>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收受项目响应方的财物或者其他好处</w:t>
            </w:r>
            <w:r>
              <w:rPr>
                <w:rFonts w:hint="default" w:ascii="仿宋_GB2312" w:hAnsi="仿宋_GB2312" w:eastAsia="仿宋_GB2312" w:cs="仿宋_GB2312"/>
                <w:color w:val="000000"/>
                <w:kern w:val="0"/>
                <w:sz w:val="30"/>
                <w:szCs w:val="30"/>
                <w:u w:val="none"/>
                <w:lang w:eastAsia="zh-CN" w:bidi="ar"/>
              </w:rPr>
              <w:t>。</w:t>
            </w:r>
          </w:p>
        </w:tc>
        <w:tc>
          <w:tcPr>
            <w:tcW w:w="678"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6" w:hRule="exact"/>
        </w:trPr>
        <w:tc>
          <w:tcPr>
            <w:tcW w:w="1185" w:type="pct"/>
            <w:vMerge w:val="continue"/>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p>
        </w:tc>
        <w:tc>
          <w:tcPr>
            <w:tcW w:w="487"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2</w:t>
            </w:r>
          </w:p>
        </w:tc>
        <w:tc>
          <w:tcPr>
            <w:tcW w:w="2649" w:type="pct"/>
            <w:noWrap w:val="0"/>
            <w:vAlign w:val="center"/>
          </w:tcPr>
          <w:p>
            <w:pPr>
              <w:spacing w:line="600" w:lineRule="exact"/>
              <w:jc w:val="both"/>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lang w:val="en-US" w:eastAsia="zh-CN" w:bidi="ar"/>
              </w:rPr>
              <w:t>透露对投标（响应）文件的评审和比较、中标候选人的推荐情况以及与评标有关的其他情况。</w:t>
            </w:r>
          </w:p>
        </w:tc>
        <w:tc>
          <w:tcPr>
            <w:tcW w:w="678"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2" w:hRule="exact"/>
        </w:trPr>
        <w:tc>
          <w:tcPr>
            <w:tcW w:w="1185" w:type="pct"/>
            <w:vMerge w:val="continue"/>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p>
        </w:tc>
        <w:tc>
          <w:tcPr>
            <w:tcW w:w="487"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3</w:t>
            </w:r>
          </w:p>
        </w:tc>
        <w:tc>
          <w:tcPr>
            <w:tcW w:w="2649" w:type="pct"/>
            <w:noWrap w:val="0"/>
            <w:vAlign w:val="center"/>
          </w:tcPr>
          <w:p>
            <w:pPr>
              <w:spacing w:line="600" w:lineRule="exact"/>
              <w:jc w:val="both"/>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到场参加评标工作后，擅离职守，无故退出评标活动。</w:t>
            </w:r>
          </w:p>
        </w:tc>
        <w:tc>
          <w:tcPr>
            <w:tcW w:w="678"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7" w:hRule="exact"/>
        </w:trPr>
        <w:tc>
          <w:tcPr>
            <w:tcW w:w="1185" w:type="pct"/>
            <w:vMerge w:val="continue"/>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p>
        </w:tc>
        <w:tc>
          <w:tcPr>
            <w:tcW w:w="487"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4</w:t>
            </w:r>
          </w:p>
        </w:tc>
        <w:tc>
          <w:tcPr>
            <w:tcW w:w="2649" w:type="pct"/>
            <w:noWrap w:val="0"/>
            <w:vAlign w:val="center"/>
          </w:tcPr>
          <w:p>
            <w:pPr>
              <w:spacing w:line="600" w:lineRule="exact"/>
              <w:jc w:val="both"/>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评标时发现存在回避情形未提出回避继续评标</w:t>
            </w:r>
            <w:r>
              <w:rPr>
                <w:rFonts w:hint="default" w:ascii="仿宋_GB2312" w:hAnsi="仿宋_GB2312" w:eastAsia="仿宋_GB2312" w:cs="仿宋_GB2312"/>
                <w:color w:val="000000"/>
                <w:kern w:val="0"/>
                <w:sz w:val="30"/>
                <w:szCs w:val="30"/>
                <w:u w:val="none"/>
                <w:lang w:eastAsia="zh-CN" w:bidi="ar"/>
              </w:rPr>
              <w:t>。</w:t>
            </w:r>
          </w:p>
        </w:tc>
        <w:tc>
          <w:tcPr>
            <w:tcW w:w="678"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2" w:hRule="exact"/>
        </w:trPr>
        <w:tc>
          <w:tcPr>
            <w:tcW w:w="1185" w:type="pct"/>
            <w:vMerge w:val="continue"/>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p>
        </w:tc>
        <w:tc>
          <w:tcPr>
            <w:tcW w:w="487"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5</w:t>
            </w:r>
          </w:p>
        </w:tc>
        <w:tc>
          <w:tcPr>
            <w:tcW w:w="2649" w:type="pct"/>
            <w:noWrap w:val="0"/>
            <w:vAlign w:val="center"/>
          </w:tcPr>
          <w:p>
            <w:pPr>
              <w:spacing w:line="600" w:lineRule="exact"/>
              <w:jc w:val="both"/>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私下接触项目响应方</w:t>
            </w:r>
            <w:r>
              <w:rPr>
                <w:rFonts w:hint="default" w:ascii="仿宋_GB2312" w:hAnsi="仿宋_GB2312" w:eastAsia="仿宋_GB2312" w:cs="仿宋_GB2312"/>
                <w:color w:val="000000"/>
                <w:kern w:val="0"/>
                <w:sz w:val="30"/>
                <w:szCs w:val="30"/>
                <w:u w:val="none"/>
                <w:lang w:eastAsia="zh-CN" w:bidi="ar"/>
              </w:rPr>
              <w:t>。</w:t>
            </w:r>
          </w:p>
        </w:tc>
        <w:tc>
          <w:tcPr>
            <w:tcW w:w="678"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7" w:hRule="exact"/>
        </w:trPr>
        <w:tc>
          <w:tcPr>
            <w:tcW w:w="1185" w:type="pct"/>
            <w:vMerge w:val="continue"/>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p>
        </w:tc>
        <w:tc>
          <w:tcPr>
            <w:tcW w:w="487"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6</w:t>
            </w:r>
          </w:p>
        </w:tc>
        <w:tc>
          <w:tcPr>
            <w:tcW w:w="2649" w:type="pct"/>
            <w:noWrap w:val="0"/>
            <w:vAlign w:val="center"/>
          </w:tcPr>
          <w:p>
            <w:pPr>
              <w:spacing w:line="600" w:lineRule="exact"/>
              <w:jc w:val="both"/>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不按照招标文件规定的评标标准和方法评标</w:t>
            </w:r>
            <w:r>
              <w:rPr>
                <w:rFonts w:hint="default" w:ascii="仿宋_GB2312" w:hAnsi="仿宋_GB2312" w:eastAsia="仿宋_GB2312" w:cs="仿宋_GB2312"/>
                <w:color w:val="000000"/>
                <w:kern w:val="0"/>
                <w:sz w:val="30"/>
                <w:szCs w:val="30"/>
                <w:u w:val="none"/>
                <w:lang w:eastAsia="zh-CN" w:bidi="ar"/>
              </w:rPr>
              <w:t>。</w:t>
            </w:r>
          </w:p>
        </w:tc>
        <w:tc>
          <w:tcPr>
            <w:tcW w:w="678"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8" w:hRule="exact"/>
        </w:trPr>
        <w:tc>
          <w:tcPr>
            <w:tcW w:w="1185"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交易当事人</w:t>
            </w:r>
          </w:p>
        </w:tc>
        <w:tc>
          <w:tcPr>
            <w:tcW w:w="487"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序号</w:t>
            </w:r>
          </w:p>
        </w:tc>
        <w:tc>
          <w:tcPr>
            <w:tcW w:w="2649"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影响信用评价行为</w:t>
            </w:r>
          </w:p>
        </w:tc>
        <w:tc>
          <w:tcPr>
            <w:tcW w:w="678"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扣除分值（分）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9" w:hRule="exact"/>
        </w:trPr>
        <w:tc>
          <w:tcPr>
            <w:tcW w:w="1185" w:type="pct"/>
            <w:vMerge w:val="restar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评标评审专家</w:t>
            </w:r>
          </w:p>
        </w:tc>
        <w:tc>
          <w:tcPr>
            <w:tcW w:w="487"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7</w:t>
            </w:r>
          </w:p>
        </w:tc>
        <w:tc>
          <w:tcPr>
            <w:tcW w:w="2649" w:type="pct"/>
            <w:noWrap w:val="0"/>
            <w:vAlign w:val="center"/>
          </w:tcPr>
          <w:p>
            <w:pPr>
              <w:spacing w:line="600" w:lineRule="exact"/>
              <w:jc w:val="both"/>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对明显违法违规或违反招标文件实质内容的重大偏差应否决而不予否决投标</w:t>
            </w:r>
            <w:r>
              <w:rPr>
                <w:rFonts w:hint="default" w:ascii="仿宋_GB2312" w:hAnsi="仿宋_GB2312" w:eastAsia="仿宋_GB2312" w:cs="仿宋_GB2312"/>
                <w:color w:val="000000"/>
                <w:kern w:val="0"/>
                <w:sz w:val="30"/>
                <w:szCs w:val="30"/>
                <w:u w:val="none"/>
                <w:lang w:eastAsia="zh-CN" w:bidi="ar"/>
              </w:rPr>
              <w:t>。</w:t>
            </w:r>
          </w:p>
        </w:tc>
        <w:tc>
          <w:tcPr>
            <w:tcW w:w="678"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1" w:hRule="exact"/>
        </w:trPr>
        <w:tc>
          <w:tcPr>
            <w:tcW w:w="1185" w:type="pct"/>
            <w:vMerge w:val="continue"/>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p>
        </w:tc>
        <w:tc>
          <w:tcPr>
            <w:tcW w:w="487"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8</w:t>
            </w:r>
          </w:p>
        </w:tc>
        <w:tc>
          <w:tcPr>
            <w:tcW w:w="2649" w:type="pct"/>
            <w:noWrap w:val="0"/>
            <w:vAlign w:val="center"/>
          </w:tcPr>
          <w:p>
            <w:pPr>
              <w:spacing w:line="600" w:lineRule="exact"/>
              <w:jc w:val="both"/>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暗示或者诱导项目响应方作出澄清、说明或者接受项目响应方主动提出的澄清、说明。</w:t>
            </w:r>
          </w:p>
        </w:tc>
        <w:tc>
          <w:tcPr>
            <w:tcW w:w="678"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7" w:hRule="exact"/>
        </w:trPr>
        <w:tc>
          <w:tcPr>
            <w:tcW w:w="1185" w:type="pct"/>
            <w:vMerge w:val="continue"/>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p>
        </w:tc>
        <w:tc>
          <w:tcPr>
            <w:tcW w:w="487"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9</w:t>
            </w:r>
          </w:p>
        </w:tc>
        <w:tc>
          <w:tcPr>
            <w:tcW w:w="2649" w:type="pct"/>
            <w:noWrap w:val="0"/>
            <w:vAlign w:val="center"/>
          </w:tcPr>
          <w:p>
            <w:pPr>
              <w:spacing w:line="600" w:lineRule="exact"/>
              <w:jc w:val="both"/>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向招标人（采购人）征询确定中标人的意向或者接受任何单位或者个人明示或者暗示提出的倾向或者排斥特定项目响应方的要求。</w:t>
            </w:r>
          </w:p>
        </w:tc>
        <w:tc>
          <w:tcPr>
            <w:tcW w:w="678"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8" w:hRule="exact"/>
        </w:trPr>
        <w:tc>
          <w:tcPr>
            <w:tcW w:w="1185" w:type="pct"/>
            <w:vMerge w:val="continue"/>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p>
        </w:tc>
        <w:tc>
          <w:tcPr>
            <w:tcW w:w="487"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10</w:t>
            </w:r>
          </w:p>
        </w:tc>
        <w:tc>
          <w:tcPr>
            <w:tcW w:w="2649" w:type="pct"/>
            <w:noWrap w:val="0"/>
            <w:vAlign w:val="center"/>
          </w:tcPr>
          <w:p>
            <w:pPr>
              <w:spacing w:line="600" w:lineRule="exact"/>
              <w:jc w:val="both"/>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委托他人代为参加评标或以他人名义参加评标</w:t>
            </w:r>
            <w:r>
              <w:rPr>
                <w:rFonts w:hint="default" w:ascii="仿宋_GB2312" w:hAnsi="仿宋_GB2312" w:eastAsia="仿宋_GB2312" w:cs="仿宋_GB2312"/>
                <w:color w:val="000000"/>
                <w:kern w:val="0"/>
                <w:sz w:val="30"/>
                <w:szCs w:val="30"/>
                <w:u w:val="none"/>
                <w:lang w:eastAsia="zh-CN" w:bidi="ar"/>
              </w:rPr>
              <w:t>。</w:t>
            </w:r>
          </w:p>
        </w:tc>
        <w:tc>
          <w:tcPr>
            <w:tcW w:w="678"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0" w:hRule="exact"/>
        </w:trPr>
        <w:tc>
          <w:tcPr>
            <w:tcW w:w="1185" w:type="pct"/>
            <w:vMerge w:val="continue"/>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p>
        </w:tc>
        <w:tc>
          <w:tcPr>
            <w:tcW w:w="487"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11</w:t>
            </w:r>
          </w:p>
        </w:tc>
        <w:tc>
          <w:tcPr>
            <w:tcW w:w="2649" w:type="pct"/>
            <w:noWrap w:val="0"/>
            <w:vAlign w:val="center"/>
          </w:tcPr>
          <w:p>
            <w:pPr>
              <w:spacing w:line="600" w:lineRule="exact"/>
              <w:jc w:val="both"/>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将评标资料私自抄录带离评标区的，或者透露评标委员会成员身份和评标项目。</w:t>
            </w:r>
          </w:p>
        </w:tc>
        <w:tc>
          <w:tcPr>
            <w:tcW w:w="678"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6" w:hRule="exact"/>
        </w:trPr>
        <w:tc>
          <w:tcPr>
            <w:tcW w:w="1185" w:type="pct"/>
            <w:vMerge w:val="continue"/>
            <w:noWrap w:val="0"/>
            <w:vAlign w:val="center"/>
          </w:tcPr>
          <w:p>
            <w:pPr>
              <w:spacing w:line="600" w:lineRule="exact"/>
              <w:jc w:val="center"/>
              <w:rPr>
                <w:rFonts w:hint="eastAsia" w:ascii="仿宋_GB2312" w:hAnsi="仿宋_GB2312" w:eastAsia="仿宋_GB2312" w:cs="仿宋_GB2312"/>
                <w:color w:val="000000"/>
                <w:kern w:val="0"/>
                <w:sz w:val="21"/>
                <w:szCs w:val="21"/>
                <w:u w:val="none"/>
                <w:lang w:val="en-US" w:eastAsia="zh-CN" w:bidi="ar"/>
              </w:rPr>
            </w:pPr>
          </w:p>
        </w:tc>
        <w:tc>
          <w:tcPr>
            <w:tcW w:w="487"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12</w:t>
            </w:r>
          </w:p>
        </w:tc>
        <w:tc>
          <w:tcPr>
            <w:tcW w:w="2649" w:type="pct"/>
            <w:noWrap w:val="0"/>
            <w:vAlign w:val="center"/>
          </w:tcPr>
          <w:p>
            <w:pPr>
              <w:spacing w:line="600" w:lineRule="exact"/>
              <w:jc w:val="both"/>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对应知法规和规定掌握不准、理解有误，将不应否决的投标作否决处理。</w:t>
            </w:r>
          </w:p>
        </w:tc>
        <w:tc>
          <w:tcPr>
            <w:tcW w:w="678"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3" w:hRule="exact"/>
        </w:trPr>
        <w:tc>
          <w:tcPr>
            <w:tcW w:w="1185"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交易当事人</w:t>
            </w:r>
          </w:p>
        </w:tc>
        <w:tc>
          <w:tcPr>
            <w:tcW w:w="487"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序号</w:t>
            </w:r>
          </w:p>
        </w:tc>
        <w:tc>
          <w:tcPr>
            <w:tcW w:w="2649"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影响信用评价行为</w:t>
            </w:r>
          </w:p>
        </w:tc>
        <w:tc>
          <w:tcPr>
            <w:tcW w:w="678"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扣除分值（分）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exact"/>
        </w:trPr>
        <w:tc>
          <w:tcPr>
            <w:tcW w:w="1185" w:type="pct"/>
            <w:vMerge w:val="restar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评标评审专家</w:t>
            </w:r>
          </w:p>
        </w:tc>
        <w:tc>
          <w:tcPr>
            <w:tcW w:w="487"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13</w:t>
            </w:r>
          </w:p>
        </w:tc>
        <w:tc>
          <w:tcPr>
            <w:tcW w:w="2649" w:type="pct"/>
            <w:noWrap w:val="0"/>
            <w:vAlign w:val="center"/>
          </w:tcPr>
          <w:p>
            <w:pPr>
              <w:spacing w:line="600" w:lineRule="exact"/>
              <w:jc w:val="both"/>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抄袭其他评标专家评审结果</w:t>
            </w:r>
            <w:r>
              <w:rPr>
                <w:rFonts w:hint="default" w:ascii="仿宋_GB2312" w:hAnsi="仿宋_GB2312" w:eastAsia="仿宋_GB2312" w:cs="仿宋_GB2312"/>
                <w:color w:val="000000"/>
                <w:kern w:val="0"/>
                <w:sz w:val="30"/>
                <w:szCs w:val="30"/>
                <w:u w:val="none"/>
                <w:lang w:eastAsia="zh-CN" w:bidi="ar"/>
              </w:rPr>
              <w:t>。</w:t>
            </w:r>
          </w:p>
        </w:tc>
        <w:tc>
          <w:tcPr>
            <w:tcW w:w="678"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5" w:hRule="exact"/>
        </w:trPr>
        <w:tc>
          <w:tcPr>
            <w:tcW w:w="1185" w:type="pct"/>
            <w:vMerge w:val="continue"/>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p>
        </w:tc>
        <w:tc>
          <w:tcPr>
            <w:tcW w:w="487"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14</w:t>
            </w:r>
          </w:p>
        </w:tc>
        <w:tc>
          <w:tcPr>
            <w:tcW w:w="2649" w:type="pct"/>
            <w:noWrap w:val="0"/>
            <w:vAlign w:val="center"/>
          </w:tcPr>
          <w:p>
            <w:pPr>
              <w:spacing w:line="600" w:lineRule="exact"/>
              <w:jc w:val="both"/>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无正当理由对某一家或某些家项目响应方不公平对待、打分畸高畸低。</w:t>
            </w:r>
          </w:p>
        </w:tc>
        <w:tc>
          <w:tcPr>
            <w:tcW w:w="678" w:type="pct"/>
            <w:noWrap w:val="0"/>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5" w:hRule="exact"/>
        </w:trPr>
        <w:tc>
          <w:tcPr>
            <w:tcW w:w="1185" w:type="pct"/>
            <w:vMerge w:val="continue"/>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p>
        </w:tc>
        <w:tc>
          <w:tcPr>
            <w:tcW w:w="487" w:type="pct"/>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15</w:t>
            </w:r>
          </w:p>
        </w:tc>
        <w:tc>
          <w:tcPr>
            <w:tcW w:w="2649" w:type="pct"/>
            <w:vAlign w:val="center"/>
          </w:tcPr>
          <w:p>
            <w:pPr>
              <w:spacing w:line="600" w:lineRule="exact"/>
              <w:jc w:val="both"/>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对投标（响应）文件细微的偏差、缺陷或者有明显文字和计算错误、失误且不造成实质性影响，可以澄清、说明、补正而未经要求澄清、说明、补正就直接否决投标。</w:t>
            </w:r>
          </w:p>
        </w:tc>
        <w:tc>
          <w:tcPr>
            <w:tcW w:w="678" w:type="pct"/>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3" w:hRule="exact"/>
        </w:trPr>
        <w:tc>
          <w:tcPr>
            <w:tcW w:w="1185" w:type="pct"/>
            <w:vMerge w:val="continue"/>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p>
        </w:tc>
        <w:tc>
          <w:tcPr>
            <w:tcW w:w="487" w:type="pct"/>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16</w:t>
            </w:r>
          </w:p>
        </w:tc>
        <w:tc>
          <w:tcPr>
            <w:tcW w:w="2649" w:type="pct"/>
            <w:vAlign w:val="center"/>
          </w:tcPr>
          <w:p>
            <w:pPr>
              <w:spacing w:line="600" w:lineRule="exact"/>
              <w:jc w:val="both"/>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对其他评标委员会成员的独立评审施加不当影响的，如暗示、诱导等。</w:t>
            </w:r>
          </w:p>
        </w:tc>
        <w:tc>
          <w:tcPr>
            <w:tcW w:w="678" w:type="pct"/>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0" w:hRule="exact"/>
        </w:trPr>
        <w:tc>
          <w:tcPr>
            <w:tcW w:w="1185" w:type="pct"/>
            <w:vMerge w:val="continue"/>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p>
        </w:tc>
        <w:tc>
          <w:tcPr>
            <w:tcW w:w="487" w:type="pct"/>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17</w:t>
            </w:r>
          </w:p>
        </w:tc>
        <w:tc>
          <w:tcPr>
            <w:tcW w:w="2649" w:type="pct"/>
            <w:vAlign w:val="center"/>
          </w:tcPr>
          <w:p>
            <w:pPr>
              <w:spacing w:line="600" w:lineRule="exact"/>
              <w:jc w:val="both"/>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完成评审后在合法的评标劳务费之外额外索取、接受报酬或者其他好处，或者以各种理由拒绝提交评标报告。</w:t>
            </w:r>
          </w:p>
        </w:tc>
        <w:tc>
          <w:tcPr>
            <w:tcW w:w="678" w:type="pct"/>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5" w:hRule="exact"/>
        </w:trPr>
        <w:tc>
          <w:tcPr>
            <w:tcW w:w="1185" w:type="pct"/>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交易当事人</w:t>
            </w:r>
          </w:p>
        </w:tc>
        <w:tc>
          <w:tcPr>
            <w:tcW w:w="487" w:type="pct"/>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序号</w:t>
            </w:r>
          </w:p>
        </w:tc>
        <w:tc>
          <w:tcPr>
            <w:tcW w:w="2649" w:type="pct"/>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影响信用评价行为</w:t>
            </w:r>
          </w:p>
        </w:tc>
        <w:tc>
          <w:tcPr>
            <w:tcW w:w="678" w:type="pct"/>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扣除分值（分）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9" w:hRule="exact"/>
        </w:trPr>
        <w:tc>
          <w:tcPr>
            <w:tcW w:w="1185" w:type="pct"/>
            <w:vMerge w:val="restart"/>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评标评审专家</w:t>
            </w:r>
          </w:p>
        </w:tc>
        <w:tc>
          <w:tcPr>
            <w:tcW w:w="487" w:type="pct"/>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18</w:t>
            </w:r>
          </w:p>
        </w:tc>
        <w:tc>
          <w:tcPr>
            <w:tcW w:w="2649" w:type="pct"/>
            <w:vAlign w:val="center"/>
          </w:tcPr>
          <w:p>
            <w:pPr>
              <w:spacing w:line="600" w:lineRule="exact"/>
              <w:jc w:val="both"/>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组建或者加入可能影响公正评标的微信群、QQ群等网络通讯群组，或者参加专家微信群、评标QQ群等网络通讯群组，发布预参加评标信息或泄露已评完</w:t>
            </w:r>
            <w:r>
              <w:rPr>
                <w:rFonts w:hint="default" w:ascii="仿宋_GB2312" w:hAnsi="仿宋_GB2312" w:eastAsia="仿宋_GB2312" w:cs="仿宋_GB2312"/>
                <w:color w:val="000000"/>
                <w:kern w:val="0"/>
                <w:sz w:val="30"/>
                <w:szCs w:val="30"/>
                <w:u w:val="none"/>
                <w:lang w:eastAsia="zh-CN" w:bidi="ar"/>
              </w:rPr>
              <w:t>项目</w:t>
            </w:r>
            <w:r>
              <w:rPr>
                <w:rFonts w:hint="eastAsia" w:ascii="仿宋_GB2312" w:hAnsi="仿宋_GB2312" w:eastAsia="仿宋_GB2312" w:cs="仿宋_GB2312"/>
                <w:color w:val="000000"/>
                <w:kern w:val="0"/>
                <w:sz w:val="30"/>
                <w:szCs w:val="30"/>
                <w:u w:val="none"/>
                <w:lang w:val="en-US" w:eastAsia="zh-CN" w:bidi="ar"/>
              </w:rPr>
              <w:t>信息。</w:t>
            </w:r>
          </w:p>
        </w:tc>
        <w:tc>
          <w:tcPr>
            <w:tcW w:w="678" w:type="pct"/>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8" w:hRule="exact"/>
        </w:trPr>
        <w:tc>
          <w:tcPr>
            <w:tcW w:w="1185" w:type="pct"/>
            <w:vMerge w:val="continue"/>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p>
        </w:tc>
        <w:tc>
          <w:tcPr>
            <w:tcW w:w="487" w:type="pct"/>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19</w:t>
            </w:r>
          </w:p>
        </w:tc>
        <w:tc>
          <w:tcPr>
            <w:tcW w:w="2649" w:type="pct"/>
            <w:vAlign w:val="center"/>
          </w:tcPr>
          <w:p>
            <w:pPr>
              <w:spacing w:line="600" w:lineRule="exact"/>
              <w:jc w:val="both"/>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无正当理由不参加、不配合招标人依法组织的中标候选人履约能力审查或不配合异议、投诉处理工作。</w:t>
            </w:r>
          </w:p>
        </w:tc>
        <w:tc>
          <w:tcPr>
            <w:tcW w:w="678" w:type="pct"/>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1" w:hRule="exact"/>
        </w:trPr>
        <w:tc>
          <w:tcPr>
            <w:tcW w:w="1185" w:type="pct"/>
            <w:vMerge w:val="continue"/>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p>
        </w:tc>
        <w:tc>
          <w:tcPr>
            <w:tcW w:w="487" w:type="pct"/>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20</w:t>
            </w:r>
          </w:p>
        </w:tc>
        <w:tc>
          <w:tcPr>
            <w:tcW w:w="2649" w:type="pct"/>
            <w:vAlign w:val="center"/>
          </w:tcPr>
          <w:p>
            <w:pPr>
              <w:spacing w:line="600" w:lineRule="exact"/>
              <w:jc w:val="both"/>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确认参加评标但未到场且未请假影响评标正常进行。</w:t>
            </w:r>
          </w:p>
        </w:tc>
        <w:tc>
          <w:tcPr>
            <w:tcW w:w="678" w:type="pct"/>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5" w:hRule="exact"/>
        </w:trPr>
        <w:tc>
          <w:tcPr>
            <w:tcW w:w="1185" w:type="pct"/>
            <w:vMerge w:val="continue"/>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p>
        </w:tc>
        <w:tc>
          <w:tcPr>
            <w:tcW w:w="487" w:type="pct"/>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21</w:t>
            </w:r>
          </w:p>
        </w:tc>
        <w:tc>
          <w:tcPr>
            <w:tcW w:w="2649" w:type="pct"/>
            <w:vAlign w:val="center"/>
          </w:tcPr>
          <w:p>
            <w:pPr>
              <w:spacing w:line="600" w:lineRule="exact"/>
              <w:jc w:val="both"/>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确认参加评标后，未按通知时间到达评标现场的，迟到60分钟以上。</w:t>
            </w:r>
          </w:p>
        </w:tc>
        <w:tc>
          <w:tcPr>
            <w:tcW w:w="678" w:type="pct"/>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2" w:hRule="exact"/>
        </w:trPr>
        <w:tc>
          <w:tcPr>
            <w:tcW w:w="1185" w:type="pct"/>
            <w:vMerge w:val="continue"/>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p>
        </w:tc>
        <w:tc>
          <w:tcPr>
            <w:tcW w:w="487" w:type="pct"/>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22</w:t>
            </w:r>
          </w:p>
        </w:tc>
        <w:tc>
          <w:tcPr>
            <w:tcW w:w="2649" w:type="pct"/>
            <w:vAlign w:val="center"/>
          </w:tcPr>
          <w:p>
            <w:pPr>
              <w:spacing w:line="600" w:lineRule="exact"/>
              <w:jc w:val="both"/>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确认参加评标后，未按通知时间到达评标现场的，迟到30分钟至60分钟。</w:t>
            </w:r>
          </w:p>
        </w:tc>
        <w:tc>
          <w:tcPr>
            <w:tcW w:w="678" w:type="pct"/>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5" w:hRule="exact"/>
        </w:trPr>
        <w:tc>
          <w:tcPr>
            <w:tcW w:w="1185" w:type="pct"/>
            <w:vMerge w:val="continue"/>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p>
        </w:tc>
        <w:tc>
          <w:tcPr>
            <w:tcW w:w="487" w:type="pct"/>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23</w:t>
            </w:r>
          </w:p>
        </w:tc>
        <w:tc>
          <w:tcPr>
            <w:tcW w:w="2649" w:type="pct"/>
            <w:vAlign w:val="center"/>
          </w:tcPr>
          <w:p>
            <w:pPr>
              <w:spacing w:line="600" w:lineRule="exact"/>
              <w:jc w:val="both"/>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刻意躲避评标区监控，与其他评标委员会成员私下交流评审内容。</w:t>
            </w:r>
          </w:p>
        </w:tc>
        <w:tc>
          <w:tcPr>
            <w:tcW w:w="678" w:type="pct"/>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5" w:hRule="exact"/>
        </w:trPr>
        <w:tc>
          <w:tcPr>
            <w:tcW w:w="1185" w:type="pct"/>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交易当事人</w:t>
            </w:r>
          </w:p>
        </w:tc>
        <w:tc>
          <w:tcPr>
            <w:tcW w:w="487" w:type="pct"/>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序号</w:t>
            </w:r>
          </w:p>
        </w:tc>
        <w:tc>
          <w:tcPr>
            <w:tcW w:w="2649" w:type="pct"/>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影响信用评价行为</w:t>
            </w:r>
          </w:p>
        </w:tc>
        <w:tc>
          <w:tcPr>
            <w:tcW w:w="678" w:type="pct"/>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扣除分值（分）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9" w:hRule="exact"/>
        </w:trPr>
        <w:tc>
          <w:tcPr>
            <w:tcW w:w="1185" w:type="pct"/>
            <w:vMerge w:val="restart"/>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评标评审专家</w:t>
            </w:r>
          </w:p>
        </w:tc>
        <w:tc>
          <w:tcPr>
            <w:tcW w:w="487" w:type="pct"/>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24</w:t>
            </w:r>
          </w:p>
        </w:tc>
        <w:tc>
          <w:tcPr>
            <w:tcW w:w="2649" w:type="pct"/>
            <w:vAlign w:val="center"/>
          </w:tcPr>
          <w:p>
            <w:pPr>
              <w:spacing w:line="600" w:lineRule="exact"/>
              <w:jc w:val="both"/>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在各评审环节中，已提交并确认该环节评审结论后，又无故退回更改评审内容的，或者退回的理由明显不符合实际情况。</w:t>
            </w:r>
          </w:p>
        </w:tc>
        <w:tc>
          <w:tcPr>
            <w:tcW w:w="678" w:type="pct"/>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1" w:hRule="exact"/>
        </w:trPr>
        <w:tc>
          <w:tcPr>
            <w:tcW w:w="1185" w:type="pct"/>
            <w:vMerge w:val="continue"/>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p>
        </w:tc>
        <w:tc>
          <w:tcPr>
            <w:tcW w:w="487" w:type="pct"/>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25</w:t>
            </w:r>
          </w:p>
        </w:tc>
        <w:tc>
          <w:tcPr>
            <w:tcW w:w="2649" w:type="pct"/>
            <w:vAlign w:val="center"/>
          </w:tcPr>
          <w:p>
            <w:pPr>
              <w:spacing w:line="600" w:lineRule="exact"/>
              <w:jc w:val="both"/>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未按规定存放手机等通讯工具，U盘、移动硬盘等电子存储设备，或者未按要求携带评标锁的，或者因评标专家原因携带的评标锁不能使用。</w:t>
            </w:r>
          </w:p>
        </w:tc>
        <w:tc>
          <w:tcPr>
            <w:tcW w:w="678" w:type="pct"/>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9" w:hRule="exact"/>
        </w:trPr>
        <w:tc>
          <w:tcPr>
            <w:tcW w:w="1185" w:type="pct"/>
            <w:vMerge w:val="continue"/>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p>
        </w:tc>
        <w:tc>
          <w:tcPr>
            <w:tcW w:w="487" w:type="pct"/>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26</w:t>
            </w:r>
          </w:p>
        </w:tc>
        <w:tc>
          <w:tcPr>
            <w:tcW w:w="2649" w:type="pct"/>
            <w:vAlign w:val="center"/>
          </w:tcPr>
          <w:p>
            <w:pPr>
              <w:spacing w:line="600" w:lineRule="exact"/>
              <w:jc w:val="both"/>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进入其他项目评标室聊天或打听项目信息</w:t>
            </w:r>
            <w:r>
              <w:rPr>
                <w:rFonts w:hint="default" w:ascii="仿宋_GB2312" w:hAnsi="仿宋_GB2312" w:eastAsia="仿宋_GB2312" w:cs="仿宋_GB2312"/>
                <w:color w:val="000000"/>
                <w:kern w:val="0"/>
                <w:sz w:val="30"/>
                <w:szCs w:val="30"/>
                <w:u w:val="none"/>
                <w:lang w:eastAsia="zh-CN" w:bidi="ar"/>
              </w:rPr>
              <w:t>。</w:t>
            </w:r>
          </w:p>
        </w:tc>
        <w:tc>
          <w:tcPr>
            <w:tcW w:w="678" w:type="pct"/>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5" w:hRule="exact"/>
        </w:trPr>
        <w:tc>
          <w:tcPr>
            <w:tcW w:w="1185" w:type="pct"/>
            <w:vMerge w:val="continue"/>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p>
        </w:tc>
        <w:tc>
          <w:tcPr>
            <w:tcW w:w="487" w:type="pct"/>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27</w:t>
            </w:r>
          </w:p>
        </w:tc>
        <w:tc>
          <w:tcPr>
            <w:tcW w:w="2649" w:type="pct"/>
            <w:vAlign w:val="center"/>
          </w:tcPr>
          <w:p>
            <w:pPr>
              <w:spacing w:line="600" w:lineRule="exact"/>
              <w:jc w:val="both"/>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不遵守评标区管理制度</w:t>
            </w:r>
            <w:r>
              <w:rPr>
                <w:rFonts w:hint="default" w:ascii="仿宋_GB2312" w:hAnsi="仿宋_GB2312" w:eastAsia="仿宋_GB2312" w:cs="仿宋_GB2312"/>
                <w:color w:val="000000"/>
                <w:kern w:val="0"/>
                <w:sz w:val="30"/>
                <w:szCs w:val="30"/>
                <w:u w:val="none"/>
                <w:lang w:eastAsia="zh-CN" w:bidi="ar"/>
              </w:rPr>
              <w:t>。</w:t>
            </w:r>
          </w:p>
        </w:tc>
        <w:tc>
          <w:tcPr>
            <w:tcW w:w="678" w:type="pct"/>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5" w:hRule="exact"/>
        </w:trPr>
        <w:tc>
          <w:tcPr>
            <w:tcW w:w="1185" w:type="pct"/>
            <w:vMerge w:val="continue"/>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p>
        </w:tc>
        <w:tc>
          <w:tcPr>
            <w:tcW w:w="487" w:type="pct"/>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28</w:t>
            </w:r>
          </w:p>
        </w:tc>
        <w:tc>
          <w:tcPr>
            <w:tcW w:w="2649" w:type="pct"/>
            <w:vAlign w:val="center"/>
          </w:tcPr>
          <w:p>
            <w:pPr>
              <w:spacing w:line="600" w:lineRule="exact"/>
              <w:jc w:val="both"/>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不能独立使用评审工具完成电子评标评审工作</w:t>
            </w:r>
            <w:r>
              <w:rPr>
                <w:rFonts w:hint="default" w:ascii="仿宋_GB2312" w:hAnsi="仿宋_GB2312" w:eastAsia="仿宋_GB2312" w:cs="仿宋_GB2312"/>
                <w:color w:val="000000"/>
                <w:kern w:val="0"/>
                <w:sz w:val="30"/>
                <w:szCs w:val="30"/>
                <w:u w:val="none"/>
                <w:lang w:eastAsia="zh-CN" w:bidi="ar"/>
              </w:rPr>
              <w:t>。</w:t>
            </w:r>
          </w:p>
        </w:tc>
        <w:tc>
          <w:tcPr>
            <w:tcW w:w="678" w:type="pct"/>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5" w:hRule="exact"/>
        </w:trPr>
        <w:tc>
          <w:tcPr>
            <w:tcW w:w="1185" w:type="pct"/>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交易当事人</w:t>
            </w:r>
          </w:p>
        </w:tc>
        <w:tc>
          <w:tcPr>
            <w:tcW w:w="487" w:type="pct"/>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序号</w:t>
            </w:r>
          </w:p>
        </w:tc>
        <w:tc>
          <w:tcPr>
            <w:tcW w:w="2649" w:type="pct"/>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影响信用评价行为</w:t>
            </w:r>
          </w:p>
        </w:tc>
        <w:tc>
          <w:tcPr>
            <w:tcW w:w="678" w:type="pct"/>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扣除分值（分）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5" w:hRule="exact"/>
        </w:trPr>
        <w:tc>
          <w:tcPr>
            <w:tcW w:w="1185" w:type="pct"/>
            <w:vMerge w:val="restart"/>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评标评审专家</w:t>
            </w:r>
          </w:p>
        </w:tc>
        <w:tc>
          <w:tcPr>
            <w:tcW w:w="487" w:type="pct"/>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29</w:t>
            </w:r>
          </w:p>
        </w:tc>
        <w:tc>
          <w:tcPr>
            <w:tcW w:w="2649" w:type="pct"/>
            <w:vAlign w:val="center"/>
          </w:tcPr>
          <w:p>
            <w:pPr>
              <w:spacing w:line="600" w:lineRule="exact"/>
              <w:jc w:val="both"/>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对应知法规掌握不准或对评标系统操作有误导致评标发生错误</w:t>
            </w:r>
            <w:r>
              <w:rPr>
                <w:rFonts w:hint="default" w:ascii="仿宋_GB2312" w:hAnsi="仿宋_GB2312" w:eastAsia="仿宋_GB2312" w:cs="仿宋_GB2312"/>
                <w:color w:val="000000"/>
                <w:kern w:val="0"/>
                <w:sz w:val="30"/>
                <w:szCs w:val="30"/>
                <w:u w:val="none"/>
                <w:lang w:eastAsia="zh-CN" w:bidi="ar"/>
              </w:rPr>
              <w:t>。</w:t>
            </w:r>
          </w:p>
        </w:tc>
        <w:tc>
          <w:tcPr>
            <w:tcW w:w="678" w:type="pct"/>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9" w:hRule="exact"/>
        </w:trPr>
        <w:tc>
          <w:tcPr>
            <w:tcW w:w="1185" w:type="pct"/>
            <w:vMerge w:val="continue"/>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p>
        </w:tc>
        <w:tc>
          <w:tcPr>
            <w:tcW w:w="487" w:type="pct"/>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30</w:t>
            </w:r>
          </w:p>
        </w:tc>
        <w:tc>
          <w:tcPr>
            <w:tcW w:w="2649" w:type="pct"/>
            <w:vAlign w:val="center"/>
          </w:tcPr>
          <w:p>
            <w:pPr>
              <w:spacing w:line="600" w:lineRule="exact"/>
              <w:jc w:val="both"/>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在“评定分离”模式招标项目的评标活动中，所提出的定性评审意见不明确、敷衍了事，且不能为定标活动起到参考作用。</w:t>
            </w:r>
          </w:p>
        </w:tc>
        <w:tc>
          <w:tcPr>
            <w:tcW w:w="678" w:type="pct"/>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0" w:hRule="exact"/>
        </w:trPr>
        <w:tc>
          <w:tcPr>
            <w:tcW w:w="1185" w:type="pct"/>
            <w:vMerge w:val="continue"/>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p>
        </w:tc>
        <w:tc>
          <w:tcPr>
            <w:tcW w:w="487" w:type="pct"/>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31</w:t>
            </w:r>
          </w:p>
        </w:tc>
        <w:tc>
          <w:tcPr>
            <w:tcW w:w="2649" w:type="pct"/>
            <w:vAlign w:val="center"/>
          </w:tcPr>
          <w:p>
            <w:pPr>
              <w:spacing w:line="600" w:lineRule="exact"/>
              <w:jc w:val="both"/>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故意拖延评审时间，或者消极怠工、敷衍塞责随意评标、从事与评标无关事项。</w:t>
            </w:r>
          </w:p>
        </w:tc>
        <w:tc>
          <w:tcPr>
            <w:tcW w:w="678" w:type="pct"/>
            <w:vAlign w:val="center"/>
          </w:tcPr>
          <w:p>
            <w:pPr>
              <w:spacing w:line="600" w:lineRule="exact"/>
              <w:jc w:val="center"/>
              <w:rPr>
                <w:rFonts w:hint="eastAsia" w:ascii="仿宋_GB2312" w:hAnsi="仿宋_GB2312" w:eastAsia="仿宋_GB2312" w:cs="仿宋_GB2312"/>
                <w:color w:val="000000"/>
                <w:kern w:val="0"/>
                <w:sz w:val="30"/>
                <w:szCs w:val="30"/>
                <w:u w:val="none"/>
                <w:lang w:val="en-US" w:eastAsia="zh-CN" w:bidi="ar"/>
              </w:rPr>
            </w:pPr>
            <w:r>
              <w:rPr>
                <w:rFonts w:hint="eastAsia" w:ascii="仿宋_GB2312" w:hAnsi="仿宋_GB2312" w:eastAsia="仿宋_GB2312" w:cs="仿宋_GB2312"/>
                <w:color w:val="000000"/>
                <w:kern w:val="0"/>
                <w:sz w:val="30"/>
                <w:szCs w:val="30"/>
                <w:u w:val="none"/>
                <w:lang w:val="en-US" w:eastAsia="zh-CN" w:bidi="ar"/>
              </w:rPr>
              <w:t>5</w:t>
            </w:r>
          </w:p>
        </w:tc>
      </w:tr>
    </w:tbl>
    <w:p>
      <w:pPr>
        <w:pStyle w:val="2"/>
        <w:numPr>
          <w:ilvl w:val="1"/>
          <w:numId w:val="0"/>
        </w:numPr>
        <w:ind w:leftChars="0"/>
        <w:rPr>
          <w:b w:val="0"/>
          <w:bCs w:val="0"/>
        </w:rPr>
      </w:pPr>
    </w:p>
    <w:p>
      <w:pPr>
        <w:rPr>
          <w:b w:val="0"/>
          <w:bCs w:val="0"/>
        </w:rPr>
      </w:pPr>
    </w:p>
    <w:p>
      <w:pPr>
        <w:pStyle w:val="2"/>
        <w:numPr>
          <w:ilvl w:val="1"/>
          <w:numId w:val="0"/>
        </w:numPr>
        <w:ind w:leftChars="0"/>
      </w:pPr>
    </w:p>
    <w:p>
      <w:pPr>
        <w:rPr>
          <w:b w:val="0"/>
          <w:bCs w:val="0"/>
        </w:rPr>
      </w:pPr>
    </w:p>
    <w:p>
      <w:pPr>
        <w:pStyle w:val="2"/>
        <w:numPr>
          <w:ilvl w:val="1"/>
          <w:numId w:val="0"/>
        </w:numPr>
        <w:ind w:leftChars="0"/>
      </w:pPr>
    </w:p>
    <w:p>
      <w:pPr>
        <w:rPr>
          <w:b w:val="0"/>
          <w:bCs w:val="0"/>
        </w:rPr>
      </w:pPr>
    </w:p>
    <w:p>
      <w:pPr>
        <w:pStyle w:val="2"/>
        <w:numPr>
          <w:ilvl w:val="1"/>
          <w:numId w:val="0"/>
        </w:numPr>
        <w:ind w:leftChars="0"/>
      </w:pPr>
    </w:p>
    <w:p>
      <w:pPr>
        <w:rPr>
          <w:b w:val="0"/>
          <w:bCs w:val="0"/>
        </w:rPr>
      </w:pPr>
    </w:p>
    <w:p>
      <w:pPr>
        <w:pStyle w:val="2"/>
        <w:numPr>
          <w:ilvl w:val="1"/>
          <w:numId w:val="0"/>
        </w:numPr>
        <w:ind w:leftChars="0"/>
      </w:pPr>
    </w:p>
    <w:p/>
    <w:p>
      <w:pPr>
        <w:pStyle w:val="2"/>
        <w:numPr>
          <w:ilvl w:val="1"/>
          <w:numId w:val="0"/>
        </w:numPr>
        <w:ind w:leftChars="0"/>
      </w:pPr>
    </w:p>
    <w:p/>
    <w:p>
      <w:pPr>
        <w:pStyle w:val="2"/>
        <w:numPr>
          <w:ilvl w:val="1"/>
          <w:numId w:val="0"/>
        </w:numPr>
        <w:ind w:leftChars="0"/>
      </w:pPr>
    </w:p>
    <w:p/>
    <w:p>
      <w:pPr>
        <w:pStyle w:val="2"/>
        <w:numPr>
          <w:ilvl w:val="1"/>
          <w:numId w:val="0"/>
        </w:numPr>
        <w:ind w:leftChars="0"/>
      </w:pPr>
    </w:p>
    <w:p/>
    <w:p>
      <w:pPr>
        <w:pStyle w:val="2"/>
        <w:numPr>
          <w:ilvl w:val="1"/>
          <w:numId w:val="0"/>
        </w:numPr>
        <w:ind w:leftChars="0"/>
      </w:pPr>
    </w:p>
    <w:p/>
    <w:p>
      <w:pPr>
        <w:pStyle w:val="2"/>
        <w:numPr>
          <w:ilvl w:val="1"/>
          <w:numId w:val="0"/>
        </w:numPr>
        <w:ind w:leftChars="0"/>
      </w:pPr>
    </w:p>
    <w:p/>
    <w:p>
      <w:pPr>
        <w:pStyle w:val="2"/>
        <w:numPr>
          <w:ilvl w:val="1"/>
          <w:numId w:val="0"/>
        </w:numPr>
        <w:ind w:leftChars="0"/>
      </w:pPr>
    </w:p>
    <w:p/>
    <w:p>
      <w:pPr>
        <w:pStyle w:val="2"/>
        <w:numPr>
          <w:ilvl w:val="1"/>
          <w:numId w:val="0"/>
        </w:numPr>
        <w:ind w:leftChars="0"/>
      </w:pPr>
    </w:p>
    <w:p>
      <w:r>
        <w:rPr>
          <w:rFonts w:hint="eastAsia"/>
          <w:lang w:eastAsia="zh-CN"/>
        </w:rPr>
        <w:tab/>
      </w:r>
      <w:r>
        <w:rPr>
          <w:rFonts w:hint="eastAsia" w:ascii="仿宋_GB2312" w:hAnsi="仿宋_GB2312" w:eastAsia="仿宋_GB2312" w:cs="仿宋_GB2312"/>
          <w:sz w:val="28"/>
          <w:szCs w:val="28"/>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434340</wp:posOffset>
                </wp:positionV>
                <wp:extent cx="5372100" cy="0"/>
                <wp:effectExtent l="0" t="4445" r="0" b="5080"/>
                <wp:wrapNone/>
                <wp:docPr id="1" name="直接连接符 1"/>
                <wp:cNvGraphicFramePr/>
                <a:graphic xmlns:a="http://schemas.openxmlformats.org/drawingml/2006/main">
                  <a:graphicData uri="http://schemas.microsoft.com/office/word/2010/wordprocessingShape">
                    <wps:wsp>
                      <wps:cNvCnPr/>
                      <wps:spPr>
                        <a:xfrm>
                          <a:off x="0" y="0"/>
                          <a:ext cx="5372100" cy="0"/>
                        </a:xfrm>
                        <a:prstGeom prst="line">
                          <a:avLst/>
                        </a:prstGeom>
                        <a:ln w="9525" cap="flat" cmpd="sng">
                          <a:solidFill>
                            <a:srgbClr val="000000"/>
                          </a:solidFill>
                          <a:prstDash val="solid"/>
                          <a:round/>
                          <a:headEnd type="none" w="med" len="med"/>
                          <a:tailEnd type="none" w="med" len="med"/>
                        </a:ln>
                      </wps:spPr>
                      <wps:bodyPr upright="1"/>
                    </wps:wsp>
                  </a:graphicData>
                </a:graphic>
              </wp:anchor>
            </w:drawing>
          </mc:Choice>
          <mc:Fallback>
            <w:pict>
              <v:line id="_x0000_s1026" o:spid="_x0000_s1026" o:spt="20" style="position:absolute;left:0pt;margin-left:0pt;margin-top:34.2pt;height:0pt;width:423pt;z-index:251659264;mso-width-relative:page;mso-height-relative:page;" filled="f" stroked="t" coordsize="21600,21600" o:gfxdata="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BYAAABkcnMvUEsBAhQAFAAAAAgA&#10;h07iQD5/L7nTAAAABgEAAA8AAAAAAAAAAQAgAAAAOAAAAGRycy9kb3ducmV2LnhtbFBLAQIUABQA&#10;AAAIAIdO4kCZpU2/3wEAAKADAAAOAAAAAAAAAAEAIAAAADgBAABkcnMvZTJvRG9jLnhtbFBLBQYA&#10;AAAABgAGAFkBAACJBQAAAAA=&#10;">
                <v:fill on="f" focussize="0,0"/>
                <v:stroke color="#000000" joinstyle="round"/>
                <v:imagedata o:title=""/>
                <o:lock v:ext="edit" aspectratio="f"/>
              </v:line>
            </w:pict>
          </mc:Fallback>
        </mc:AlternateContent>
      </w:r>
      <w:r>
        <w:rPr>
          <w:rFonts w:hint="eastAsia" w:ascii="仿宋_GB2312" w:hAnsi="仿宋_GB2312" w:eastAsia="仿宋_GB2312" w:cs="仿宋_GB2312"/>
          <w:sz w:val="28"/>
          <w:szCs w:val="28"/>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33020</wp:posOffset>
                </wp:positionV>
                <wp:extent cx="5372100" cy="0"/>
                <wp:effectExtent l="0" t="4445" r="0" b="5080"/>
                <wp:wrapNone/>
                <wp:docPr id="2" name="直接连接符 2"/>
                <wp:cNvGraphicFramePr/>
                <a:graphic xmlns:a="http://schemas.openxmlformats.org/drawingml/2006/main">
                  <a:graphicData uri="http://schemas.microsoft.com/office/word/2010/wordprocessingShape">
                    <wps:wsp>
                      <wps:cNvCnPr/>
                      <wps:spPr>
                        <a:xfrm>
                          <a:off x="0" y="0"/>
                          <a:ext cx="5372100" cy="0"/>
                        </a:xfrm>
                        <a:prstGeom prst="line">
                          <a:avLst/>
                        </a:prstGeom>
                        <a:ln w="9525" cap="flat" cmpd="sng">
                          <a:solidFill>
                            <a:srgbClr val="000000"/>
                          </a:solidFill>
                          <a:prstDash val="solid"/>
                          <a:round/>
                          <a:headEnd type="none" w="med" len="med"/>
                          <a:tailEnd type="none" w="med" len="med"/>
                        </a:ln>
                      </wps:spPr>
                      <wps:bodyPr upright="1"/>
                    </wps:wsp>
                  </a:graphicData>
                </a:graphic>
              </wp:anchor>
            </w:drawing>
          </mc:Choice>
          <mc:Fallback>
            <w:pict>
              <v:line id="_x0000_s1026" o:spid="_x0000_s1026" o:spt="20" style="position:absolute;left:0pt;margin-left:0pt;margin-top:2.6pt;height:0pt;width:423pt;z-index:251660288;mso-width-relative:page;mso-height-relative:page;" filled="f" stroked="t" coordsize="21600,21600" o:gfxdata="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BYAAABkcnMvUEsBAhQAFAAAAAgA&#10;h07iQIXfUWnSAAAABAEAAA8AAAAAAAAAAQAgAAAAOAAAAGRycy9kb3ducmV2LnhtbFBLAQIUABQA&#10;AAAIAIdO4kCFOJKd4AEAAKADAAAOAAAAAAAAAAEAIAAAADcBAABkcnMvZTJvRG9jLnhtbFBLBQYA&#10;AAAABgAGAFkBAACJBQAAAAA=&#10;">
                <v:fill on="f" focussize="0,0"/>
                <v:stroke color="#000000" joinstyle="round"/>
                <v:imagedata o:title=""/>
                <o:lock v:ext="edit" aspectratio="f"/>
              </v:line>
            </w:pict>
          </mc:Fallback>
        </mc:AlternateContent>
      </w:r>
      <w:r>
        <w:rPr>
          <w:rFonts w:hint="eastAsia" w:ascii="仿宋_GB2312" w:hAnsi="仿宋_GB2312" w:eastAsia="仿宋_GB2312" w:cs="仿宋_GB2312"/>
          <w:sz w:val="28"/>
          <w:szCs w:val="28"/>
        </w:rPr>
        <w:t xml:space="preserve">牡丹江市人民政府办公室        </w:t>
      </w:r>
      <w:r>
        <w:rPr>
          <w:rFonts w:hint="default" w:ascii="仿宋_GB2312" w:hAnsi="仿宋_GB2312" w:eastAsia="仿宋_GB2312" w:cs="仿宋_GB2312"/>
          <w:sz w:val="28"/>
          <w:szCs w:val="28"/>
        </w:rPr>
        <w:t xml:space="preserve">    </w:t>
      </w:r>
      <w:r>
        <w:rPr>
          <w:rFonts w:hint="eastAsia" w:ascii="仿宋_GB2312" w:hAnsi="仿宋_GB2312" w:eastAsia="仿宋_GB2312" w:cs="仿宋_GB2312"/>
          <w:sz w:val="28"/>
          <w:szCs w:val="28"/>
        </w:rPr>
        <w:t>2024年</w:t>
      </w:r>
      <w:r>
        <w:rPr>
          <w:rFonts w:hint="default" w:ascii="仿宋_GB2312" w:hAnsi="仿宋_GB2312" w:eastAsia="仿宋_GB2312" w:cs="仿宋_GB2312"/>
          <w:sz w:val="28"/>
          <w:szCs w:val="28"/>
        </w:rPr>
        <w:t>2</w:t>
      </w:r>
      <w:r>
        <w:rPr>
          <w:rFonts w:hint="eastAsia" w:ascii="仿宋_GB2312" w:hAnsi="仿宋_GB2312" w:eastAsia="仿宋_GB2312" w:cs="仿宋_GB2312"/>
          <w:sz w:val="28"/>
          <w:szCs w:val="28"/>
        </w:rPr>
        <w:t>月</w:t>
      </w:r>
      <w:r>
        <w:rPr>
          <w:rFonts w:hint="default" w:ascii="仿宋_GB2312" w:hAnsi="仿宋_GB2312" w:eastAsia="仿宋_GB2312" w:cs="仿宋_GB2312"/>
          <w:sz w:val="28"/>
          <w:szCs w:val="28"/>
        </w:rPr>
        <w:t>4</w:t>
      </w:r>
      <w:r>
        <w:rPr>
          <w:rFonts w:hint="eastAsia" w:ascii="仿宋_GB2312" w:hAnsi="仿宋_GB2312" w:eastAsia="仿宋_GB2312" w:cs="仿宋_GB2312"/>
          <w:sz w:val="28"/>
          <w:szCs w:val="28"/>
        </w:rPr>
        <w:t>日印发</w:t>
      </w:r>
    </w:p>
    <w:p>
      <w:pPr>
        <w:tabs>
          <w:tab w:val="left" w:pos="1542"/>
        </w:tabs>
        <w:bidi w:val="0"/>
        <w:jc w:val="left"/>
        <w:rPr>
          <w:rFonts w:hint="eastAsia" w:eastAsia="宋体"/>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FreeSerif"/>
    <w:panose1 w:val="02040503050406030204"/>
    <w:charset w:val="00"/>
    <w:family w:val="roman"/>
    <w:pitch w:val="default"/>
    <w:sig w:usb0="00000000" w:usb1="00000000" w:usb2="02000000"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DejaVu Math TeX Gyre">
    <w:panose1 w:val="02000503000000000000"/>
    <w:charset w:val="00"/>
    <w:family w:val="auto"/>
    <w:pitch w:val="default"/>
    <w:sig w:usb0="A10000EF" w:usb1="4201F9EE" w:usb2="02000000" w:usb3="00000000" w:csb0="60000193" w:csb1="0DD40000"/>
  </w:font>
  <w:font w:name="FreeSerif">
    <w:panose1 w:val="02020603050405020304"/>
    <w:charset w:val="00"/>
    <w:family w:val="auto"/>
    <w:pitch w:val="default"/>
    <w:sig w:usb0="E59FAFFF" w:usb1="C200FDFF" w:usb2="43501B29" w:usb3="04000043" w:csb0="6001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EB36067"/>
    <w:multiLevelType w:val="multilevel"/>
    <w:tmpl w:val="4EB36067"/>
    <w:lvl w:ilvl="0" w:tentative="0">
      <w:start w:val="1"/>
      <w:numFmt w:val="chineseCountingThousand"/>
      <w:lvlText w:val="%1、"/>
      <w:lvlJc w:val="left"/>
      <w:pPr>
        <w:ind w:left="420" w:hanging="420"/>
      </w:pPr>
      <w:rPr>
        <w:rFonts w:hint="eastAsia"/>
        <w:b/>
        <w:i w:val="0"/>
        <w:spacing w:val="0"/>
      </w:rPr>
    </w:lvl>
    <w:lvl w:ilvl="1" w:tentative="0">
      <w:start w:val="1"/>
      <w:numFmt w:val="decimal"/>
      <w:pStyle w:val="2"/>
      <w:isLgl/>
      <w:suff w:val="space"/>
      <w:lvlText w:val="%1.%2"/>
      <w:lvlJc w:val="left"/>
      <w:pPr>
        <w:ind w:left="0" w:firstLine="0"/>
      </w:pPr>
      <w:rPr>
        <w:rFonts w:hint="eastAsia"/>
      </w:rPr>
    </w:lvl>
    <w:lvl w:ilvl="2" w:tentative="0">
      <w:start w:val="1"/>
      <w:numFmt w:val="decimal"/>
      <w:isLgl/>
      <w:suff w:val="space"/>
      <w:lvlText w:val="%1.%2.%3"/>
      <w:lvlJc w:val="left"/>
      <w:pPr>
        <w:ind w:left="0" w:firstLine="0"/>
      </w:pPr>
    </w:lvl>
    <w:lvl w:ilvl="3" w:tentative="0">
      <w:start w:val="1"/>
      <w:numFmt w:val="decimal"/>
      <w:isLgl/>
      <w:suff w:val="space"/>
      <w:lvlText w:val="%1.%2.%3.%4"/>
      <w:lvlJc w:val="left"/>
      <w:pPr>
        <w:ind w:left="0" w:firstLine="0"/>
      </w:pPr>
      <w:rPr>
        <w:rFonts w:hint="eastAsia"/>
      </w:rPr>
    </w:lvl>
    <w:lvl w:ilvl="4" w:tentative="0">
      <w:start w:val="1"/>
      <w:numFmt w:val="decimal"/>
      <w:isLgl/>
      <w:suff w:val="space"/>
      <w:lvlText w:val="%1.%2.%3.%4.%5"/>
      <w:lvlJc w:val="left"/>
      <w:pPr>
        <w:ind w:left="0" w:firstLine="0"/>
      </w:pPr>
      <w:rPr>
        <w:rFonts w:hint="eastAsia"/>
      </w:rPr>
    </w:lvl>
    <w:lvl w:ilvl="5" w:tentative="0">
      <w:start w:val="1"/>
      <w:numFmt w:val="decimal"/>
      <w:isLgl/>
      <w:suff w:val="space"/>
      <w:lvlText w:val="%1.%2.%3.%4.%5.%6"/>
      <w:lvlJc w:val="left"/>
      <w:pPr>
        <w:ind w:left="0" w:firstLine="0"/>
      </w:pPr>
      <w:rPr>
        <w:rFonts w:hint="eastAsia"/>
      </w:rPr>
    </w:lvl>
    <w:lvl w:ilvl="6" w:tentative="0">
      <w:start w:val="1"/>
      <w:numFmt w:val="decimal"/>
      <w:isLgl/>
      <w:suff w:val="space"/>
      <w:lvlText w:val="%1.%2.%3.%4.%5.%6.%7"/>
      <w:lvlJc w:val="left"/>
      <w:pPr>
        <w:ind w:left="0" w:firstLine="0"/>
      </w:pPr>
      <w:rPr>
        <w:rFonts w:hint="eastAsia"/>
      </w:rPr>
    </w:lvl>
    <w:lvl w:ilvl="7" w:tentative="0">
      <w:start w:val="1"/>
      <w:numFmt w:val="decimal"/>
      <w:isLgl/>
      <w:suff w:val="space"/>
      <w:lvlText w:val="%1.%2.%3.%4.%5.%6.%7.%8"/>
      <w:lvlJc w:val="left"/>
      <w:pPr>
        <w:ind w:left="0" w:firstLine="0"/>
      </w:pPr>
      <w:rPr>
        <w:rFonts w:hint="eastAsia"/>
      </w:rPr>
    </w:lvl>
    <w:lvl w:ilvl="8" w:tentative="0">
      <w:start w:val="1"/>
      <w:numFmt w:val="decimal"/>
      <w:isLgl/>
      <w:suff w:val="space"/>
      <w:lvlText w:val="%1.%2.%3.%4.%5.%6.%7.%8.%9"/>
      <w:lvlJc w:val="left"/>
      <w:pPr>
        <w:ind w:left="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Y4NTg2YzU5MmE3NmJhNTQ4ZDE4NzRmNjRkZGY4NzcifQ=="/>
  </w:docVars>
  <w:rsids>
    <w:rsidRoot w:val="51057242"/>
    <w:rsid w:val="51057242"/>
    <w:rsid w:val="77FF52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next w:val="1"/>
    <w:qFormat/>
    <w:uiPriority w:val="9"/>
    <w:pPr>
      <w:keepNext/>
      <w:keepLines/>
      <w:widowControl w:val="0"/>
      <w:numPr>
        <w:ilvl w:val="1"/>
        <w:numId w:val="1"/>
      </w:numPr>
      <w:spacing w:before="260" w:after="260" w:line="416" w:lineRule="auto"/>
      <w:jc w:val="both"/>
      <w:outlineLvl w:val="1"/>
    </w:pPr>
    <w:rPr>
      <w:rFonts w:ascii="Cambria" w:hAnsi="Cambria" w:eastAsia="黑体" w:cs="Times New Roman"/>
      <w:b/>
      <w:bCs/>
      <w:kern w:val="2"/>
      <w:sz w:val="32"/>
      <w:szCs w:val="3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TotalTime>
  <ScaleCrop>false</ScaleCrop>
  <LinksUpToDate>false</LinksUpToDate>
  <CharactersWithSpaces>0</CharactersWithSpaces>
  <Application>WPS Office_11.8.2.9339_F1E327BC-269C-435d-A152-05C5408002CA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2024-02-06T15:44:00Z</dcterms:created>
  <dc:creator>dell</dc:creator>
  <cp:lastModifiedBy>greatwall</cp:lastModifiedBy>
  <dcterms:modified xsi:type="dcterms:W3CDTF">2024-02-19T14:34:55Z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2052-11.8.2.9339</vt:lpwstr>
  </property>
  <property fmtid="{D5CDD505-2E9C-101B-9397-08002B2CF9AE}" pid="3" name="ICV">
    <vt:lpwstr>B5263052204248BFB33BC16465F0D58A_11</vt:lpwstr>
  </property>
</Properties>
</file>