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066A6">
      <w:pPr>
        <w:jc w:val="center"/>
        <w:rPr>
          <w:rFonts w:hint="eastAsia" w:ascii="Times New Roman" w:hAnsi="Times New Roman"/>
          <w:b/>
          <w:bCs/>
          <w:sz w:val="44"/>
          <w:szCs w:val="44"/>
          <w:highlight w:val="none"/>
          <w:lang w:eastAsia="zh-CN"/>
        </w:rPr>
      </w:pPr>
      <w:r>
        <w:rPr>
          <w:rFonts w:hint="eastAsia" w:ascii="Times New Roman" w:hAnsi="Times New Roman"/>
          <w:b/>
          <w:bCs/>
          <w:sz w:val="44"/>
          <w:szCs w:val="44"/>
          <w:highlight w:val="none"/>
          <w:lang w:eastAsia="zh-CN"/>
        </w:rPr>
        <w:t>牡丹江市人民政府</w:t>
      </w:r>
    </w:p>
    <w:p w14:paraId="31289BB8">
      <w:pPr>
        <w:jc w:val="center"/>
        <w:rPr>
          <w:rFonts w:hint="eastAsia" w:ascii="Times New Roman" w:hAnsi="Times New Roman"/>
          <w:b/>
          <w:bCs/>
          <w:sz w:val="44"/>
          <w:szCs w:val="44"/>
          <w:highlight w:val="none"/>
          <w:lang w:eastAsia="zh-CN"/>
        </w:rPr>
      </w:pPr>
      <w:r>
        <w:rPr>
          <w:rFonts w:hint="eastAsia" w:ascii="Times New Roman" w:hAnsi="Times New Roman"/>
          <w:b/>
          <w:bCs/>
          <w:sz w:val="44"/>
          <w:szCs w:val="44"/>
          <w:highlight w:val="none"/>
          <w:lang w:eastAsia="zh-CN"/>
        </w:rPr>
        <w:t>关于公布牡丹江市区农用地</w:t>
      </w:r>
    </w:p>
    <w:p w14:paraId="57244176">
      <w:pPr>
        <w:jc w:val="center"/>
        <w:rPr>
          <w:rFonts w:hint="eastAsia" w:ascii="Times New Roman" w:hAnsi="Times New Roman"/>
          <w:b/>
          <w:bCs/>
          <w:sz w:val="44"/>
          <w:szCs w:val="44"/>
          <w:highlight w:val="none"/>
          <w:lang w:eastAsia="zh-CN"/>
        </w:rPr>
      </w:pPr>
      <w:r>
        <w:rPr>
          <w:rFonts w:hint="eastAsia" w:ascii="Times New Roman" w:hAnsi="Times New Roman"/>
          <w:b/>
          <w:bCs/>
          <w:sz w:val="44"/>
          <w:szCs w:val="44"/>
          <w:highlight w:val="none"/>
          <w:lang w:eastAsia="zh-CN"/>
        </w:rPr>
        <w:t>基准地价的通知</w:t>
      </w:r>
    </w:p>
    <w:p w14:paraId="3F805ADD">
      <w:pPr>
        <w:jc w:val="center"/>
        <w:rPr>
          <w:rFonts w:hint="eastAsia" w:ascii="Times New Roman" w:hAnsi="Times New Roman"/>
          <w:b/>
          <w:bCs/>
          <w:sz w:val="44"/>
          <w:szCs w:val="44"/>
          <w:highlight w:val="none"/>
          <w:lang w:eastAsia="zh-CN"/>
        </w:rPr>
      </w:pPr>
    </w:p>
    <w:p w14:paraId="2A8A52DD">
      <w:pPr>
        <w:numPr>
          <w:ilvl w:val="0"/>
          <w:numId w:val="0"/>
        </w:numPr>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各县（市）、区人民政府，市政府各有关直属单位：</w:t>
      </w:r>
    </w:p>
    <w:p w14:paraId="24F8507C">
      <w:pPr>
        <w:numPr>
          <w:ilvl w:val="0"/>
          <w:numId w:val="0"/>
        </w:numPr>
        <w:ind w:firstLine="640"/>
        <w:jc w:val="lef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《牡丹江市区农用地基准地价》已经市政府第17届55次常务会议讨论通过，现印发给你们，请认真贯彻落实。</w:t>
      </w:r>
    </w:p>
    <w:p w14:paraId="568AF548">
      <w:pPr>
        <w:numPr>
          <w:ilvl w:val="0"/>
          <w:numId w:val="0"/>
        </w:numPr>
        <w:ind w:firstLine="640"/>
        <w:jc w:val="lef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牡丹江市人民政府</w:t>
      </w:r>
    </w:p>
    <w:p w14:paraId="1E03A9CF">
      <w:pPr>
        <w:numPr>
          <w:ilvl w:val="0"/>
          <w:numId w:val="0"/>
        </w:numPr>
        <w:ind w:firstLine="640"/>
        <w:jc w:val="left"/>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2024年9月10日</w:t>
      </w:r>
    </w:p>
    <w:p w14:paraId="01575235">
      <w:pPr>
        <w:jc w:val="center"/>
        <w:rPr>
          <w:rFonts w:ascii="Times New Roman" w:hAnsi="Times New Roman"/>
          <w:b/>
          <w:bCs/>
          <w:sz w:val="44"/>
          <w:szCs w:val="44"/>
          <w:highlight w:val="none"/>
        </w:rPr>
      </w:pPr>
    </w:p>
    <w:p w14:paraId="6A15007D">
      <w:pPr>
        <w:jc w:val="center"/>
        <w:rPr>
          <w:rFonts w:ascii="Times New Roman" w:hAnsi="Times New Roman"/>
          <w:b/>
          <w:bCs/>
          <w:sz w:val="48"/>
          <w:szCs w:val="48"/>
          <w:highlight w:val="none"/>
        </w:rPr>
      </w:pPr>
      <w:r>
        <w:rPr>
          <w:rFonts w:ascii="Times New Roman" w:hAnsi="Times New Roman"/>
          <w:b/>
          <w:bCs/>
          <w:sz w:val="44"/>
          <w:szCs w:val="44"/>
          <w:highlight w:val="none"/>
        </w:rPr>
        <w:t>牡丹江</w:t>
      </w:r>
      <w:r>
        <w:rPr>
          <w:rFonts w:hint="eastAsia" w:ascii="Times New Roman" w:hAnsi="Times New Roman"/>
          <w:b/>
          <w:bCs/>
          <w:sz w:val="44"/>
          <w:szCs w:val="44"/>
          <w:highlight w:val="none"/>
        </w:rPr>
        <w:t>市区</w:t>
      </w:r>
      <w:r>
        <w:rPr>
          <w:rFonts w:hint="eastAsia" w:ascii="Times New Roman" w:hAnsi="Times New Roman"/>
          <w:b/>
          <w:bCs/>
          <w:sz w:val="44"/>
          <w:szCs w:val="44"/>
          <w:highlight w:val="none"/>
          <w:lang w:eastAsia="zh-CN"/>
        </w:rPr>
        <w:t>农用地</w:t>
      </w:r>
      <w:r>
        <w:rPr>
          <w:rFonts w:ascii="Times New Roman" w:hAnsi="Times New Roman"/>
          <w:b/>
          <w:bCs/>
          <w:sz w:val="44"/>
          <w:szCs w:val="44"/>
          <w:highlight w:val="none"/>
        </w:rPr>
        <w:t>基准地价</w:t>
      </w:r>
    </w:p>
    <w:p w14:paraId="56031521">
      <w:pPr>
        <w:jc w:val="center"/>
        <w:rPr>
          <w:rFonts w:ascii="Times New Roman" w:hAnsi="Times New Roman" w:eastAsia="仿宋_GB2312" w:cs="Times New Roman"/>
          <w:color w:val="000000"/>
          <w:szCs w:val="21"/>
          <w:highlight w:val="none"/>
        </w:rPr>
      </w:pPr>
    </w:p>
    <w:p w14:paraId="49AE7F9C">
      <w:pPr>
        <w:numPr>
          <w:ilvl w:val="0"/>
          <w:numId w:val="0"/>
        </w:numPr>
        <w:ind w:firstLine="640" w:firstLineChars="200"/>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一、本次公布的牡丹江市区农用地基准地价</w:t>
      </w:r>
      <w:r>
        <w:rPr>
          <w:rFonts w:hint="eastAsia" w:ascii="Times New Roman" w:hAnsi="Times New Roman" w:eastAsia="仿宋_GB2312" w:cs="Times New Roman"/>
          <w:sz w:val="32"/>
          <w:szCs w:val="32"/>
          <w:highlight w:val="none"/>
        </w:rPr>
        <w:t>范围</w:t>
      </w:r>
      <w:r>
        <w:rPr>
          <w:rFonts w:hint="eastAsia" w:ascii="Times New Roman" w:hAnsi="Times New Roman" w:eastAsia="仿宋_GB2312"/>
          <w:sz w:val="32"/>
          <w:szCs w:val="32"/>
          <w:highlight w:val="none"/>
          <w:lang w:eastAsia="zh-CN"/>
        </w:rPr>
        <w:t>包含牡丹江市本级（东安区、西安区、阳明区、爱民区）所辖</w:t>
      </w:r>
      <w:r>
        <w:rPr>
          <w:rFonts w:hint="eastAsia" w:ascii="Times New Roman" w:hAnsi="Times New Roman" w:eastAsia="仿宋_GB2312" w:cs="Times New Roman"/>
          <w:sz w:val="32"/>
          <w:szCs w:val="32"/>
          <w:highlight w:val="none"/>
          <w:lang w:eastAsia="zh-CN"/>
        </w:rPr>
        <w:t>行政区范围内的国有和集体</w:t>
      </w:r>
      <w:r>
        <w:rPr>
          <w:rFonts w:hint="eastAsia" w:ascii="Times New Roman" w:hAnsi="Times New Roman" w:eastAsia="仿宋_GB2312"/>
          <w:sz w:val="32"/>
          <w:szCs w:val="32"/>
          <w:highlight w:val="none"/>
          <w:lang w:val="en-US" w:eastAsia="zh-CN"/>
        </w:rPr>
        <w:t>农用地</w:t>
      </w:r>
      <w:r>
        <w:rPr>
          <w:rFonts w:hint="eastAsia" w:ascii="Times New Roman" w:hAnsi="Times New Roman" w:eastAsia="仿宋_GB2312" w:cs="Times New Roman"/>
          <w:sz w:val="32"/>
          <w:szCs w:val="32"/>
          <w:highlight w:val="none"/>
          <w:lang w:eastAsia="zh-CN"/>
        </w:rPr>
        <w:t>。</w:t>
      </w:r>
    </w:p>
    <w:p w14:paraId="5E821642">
      <w:pPr>
        <w:ind w:firstLine="640" w:firstLineChars="200"/>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二、本次公布的牡丹江市区农用地基准地价</w:t>
      </w:r>
      <w:r>
        <w:rPr>
          <w:rFonts w:hint="eastAsia" w:ascii="Times New Roman" w:hAnsi="Times New Roman" w:eastAsia="仿宋_GB2312" w:cs="Times New Roman"/>
          <w:sz w:val="32"/>
          <w:szCs w:val="32"/>
          <w:highlight w:val="none"/>
        </w:rPr>
        <w:t>估价</w:t>
      </w:r>
      <w:r>
        <w:rPr>
          <w:rFonts w:hint="eastAsia" w:ascii="Times New Roman" w:hAnsi="Times New Roman" w:eastAsia="仿宋_GB2312" w:cs="Times New Roman"/>
          <w:sz w:val="32"/>
          <w:szCs w:val="32"/>
          <w:highlight w:val="none"/>
          <w:lang w:eastAsia="zh-CN"/>
        </w:rPr>
        <w:t>基准</w:t>
      </w:r>
      <w:r>
        <w:rPr>
          <w:rFonts w:hint="eastAsia" w:ascii="Times New Roman" w:hAnsi="Times New Roman" w:eastAsia="仿宋_GB2312" w:cs="Times New Roman"/>
          <w:sz w:val="32"/>
          <w:szCs w:val="32"/>
          <w:highlight w:val="none"/>
        </w:rPr>
        <w:t>日设定为</w:t>
      </w:r>
      <w:r>
        <w:rPr>
          <w:rFonts w:hint="eastAsia" w:ascii="Times New Roman" w:hAnsi="Times New Roman" w:eastAsia="仿宋_GB2312" w:cs="Times New Roman"/>
          <w:sz w:val="32"/>
          <w:szCs w:val="32"/>
          <w:highlight w:val="none"/>
          <w:lang w:val="en-US" w:eastAsia="zh-CN"/>
        </w:rPr>
        <w:t>2023年1月1日</w:t>
      </w:r>
      <w:r>
        <w:rPr>
          <w:rFonts w:hint="eastAsia" w:ascii="Times New Roman" w:hAnsi="Times New Roman" w:eastAsia="仿宋_GB2312" w:cs="Times New Roman"/>
          <w:sz w:val="32"/>
          <w:szCs w:val="32"/>
          <w:highlight w:val="none"/>
          <w:lang w:eastAsia="zh-CN"/>
        </w:rPr>
        <w:t>，具体包含</w:t>
      </w:r>
      <w:r>
        <w:rPr>
          <w:rFonts w:hint="eastAsia" w:ascii="Times New Roman" w:hAnsi="Times New Roman" w:eastAsia="仿宋_GB2312" w:cs="Times New Roman"/>
          <w:sz w:val="32"/>
          <w:szCs w:val="32"/>
          <w:highlight w:val="none"/>
          <w:lang w:val="en-US" w:eastAsia="zh-CN"/>
        </w:rPr>
        <w:t>旱地、水田、水浇地</w:t>
      </w:r>
      <w:r>
        <w:rPr>
          <w:rFonts w:hint="eastAsia" w:ascii="Times New Roman" w:hAnsi="Times New Roman" w:eastAsia="仿宋_GB2312" w:cs="Times New Roman"/>
          <w:sz w:val="32"/>
          <w:szCs w:val="32"/>
          <w:highlight w:val="none"/>
          <w:lang w:eastAsia="zh-CN"/>
        </w:rPr>
        <w:t>三种用途。</w:t>
      </w:r>
    </w:p>
    <w:p w14:paraId="4E7ECE4C">
      <w:pPr>
        <w:ind w:firstLine="640" w:firstLineChars="200"/>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eastAsia="zh-CN"/>
        </w:rPr>
        <w:t>三、</w:t>
      </w:r>
      <w:r>
        <w:rPr>
          <w:rFonts w:hint="eastAsia" w:ascii="Times New Roman" w:hAnsi="Times New Roman" w:eastAsia="仿宋_GB2312" w:cs="Times New Roman"/>
          <w:sz w:val="32"/>
          <w:szCs w:val="32"/>
          <w:highlight w:val="none"/>
          <w:lang w:val="en-US" w:eastAsia="zh-CN"/>
        </w:rPr>
        <w:t>国有农用地价格类型为国有农用地使用权价格，集体农用地价格类型包括农用地承包经营权价格和农用地经营权价格。国有农用地使用权年期设定为50年；集体农用地承包经营权年期设定为30年；集体农用地经营权年期设定为1年。</w:t>
      </w:r>
    </w:p>
    <w:p w14:paraId="1CF177BA">
      <w:pPr>
        <w:ind w:firstLine="640" w:firstLineChars="200"/>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四、</w:t>
      </w:r>
      <w:r>
        <w:rPr>
          <w:rFonts w:hint="eastAsia" w:ascii="Times New Roman" w:hAnsi="Times New Roman" w:eastAsia="仿宋_GB2312" w:cs="Times New Roman"/>
          <w:sz w:val="32"/>
          <w:szCs w:val="32"/>
          <w:highlight w:val="none"/>
          <w:lang w:eastAsia="zh-CN"/>
        </w:rPr>
        <w:t>牡丹江市区农用地基准地价。</w:t>
      </w:r>
    </w:p>
    <w:p w14:paraId="5064FDE5">
      <w:pPr>
        <w:widowControl/>
        <w:spacing w:line="408" w:lineRule="atLeast"/>
        <w:jc w:val="center"/>
        <w:textAlignment w:val="baseline"/>
        <w:rPr>
          <w:rFonts w:ascii="Times New Roman" w:hAnsi="Times New Roman" w:eastAsia="仿宋_GB2312" w:cs="Times New Roman"/>
          <w:b/>
          <w:color w:val="000000"/>
          <w:sz w:val="28"/>
          <w:szCs w:val="28"/>
          <w:highlight w:val="none"/>
        </w:rPr>
      </w:pPr>
      <w:r>
        <w:rPr>
          <w:rFonts w:ascii="Times New Roman" w:hAnsi="Times New Roman" w:eastAsia="仿宋_GB2312" w:cs="Times New Roman"/>
          <w:b/>
          <w:color w:val="000000"/>
          <w:sz w:val="30"/>
          <w:szCs w:val="30"/>
          <w:highlight w:val="none"/>
        </w:rPr>
        <w:t>牡丹江</w:t>
      </w:r>
      <w:r>
        <w:rPr>
          <w:rFonts w:hint="eastAsia" w:ascii="Times New Roman" w:hAnsi="Times New Roman" w:eastAsia="仿宋_GB2312" w:cs="Times New Roman"/>
          <w:b/>
          <w:color w:val="000000"/>
          <w:sz w:val="30"/>
          <w:szCs w:val="30"/>
          <w:highlight w:val="none"/>
        </w:rPr>
        <w:t>市区</w:t>
      </w:r>
      <w:r>
        <w:rPr>
          <w:rFonts w:hint="eastAsia" w:ascii="Times New Roman" w:hAnsi="Times New Roman" w:eastAsia="仿宋_GB2312" w:cs="Times New Roman"/>
          <w:b/>
          <w:color w:val="000000"/>
          <w:kern w:val="0"/>
          <w:sz w:val="30"/>
          <w:szCs w:val="30"/>
          <w:highlight w:val="none"/>
          <w:lang w:eastAsia="zh-CN"/>
        </w:rPr>
        <w:t>农用地</w:t>
      </w:r>
      <w:r>
        <w:rPr>
          <w:rFonts w:ascii="Times New Roman" w:hAnsi="Times New Roman" w:eastAsia="仿宋_GB2312" w:cs="Times New Roman"/>
          <w:b/>
          <w:color w:val="000000"/>
          <w:sz w:val="30"/>
          <w:szCs w:val="30"/>
          <w:highlight w:val="none"/>
        </w:rPr>
        <w:t>基准地价表</w:t>
      </w:r>
      <w:r>
        <w:rPr>
          <w:rFonts w:ascii="Times New Roman" w:hAnsi="Times New Roman" w:eastAsia="仿宋_GB2312" w:cs="Times New Roman"/>
          <w:b/>
          <w:color w:val="000000"/>
          <w:sz w:val="28"/>
          <w:szCs w:val="28"/>
          <w:highlight w:val="none"/>
        </w:rPr>
        <w:t xml:space="preserve">       </w:t>
      </w:r>
    </w:p>
    <w:p w14:paraId="2ED257AD">
      <w:pPr>
        <w:snapToGrid w:val="0"/>
        <w:jc w:val="right"/>
        <w:rPr>
          <w:rFonts w:ascii="Times New Roman" w:hAnsi="Times New Roman" w:eastAsia="仿宋_GB2312" w:cs="Times New Roman"/>
          <w:color w:val="000000"/>
          <w:sz w:val="18"/>
          <w:szCs w:val="18"/>
          <w:highlight w:val="none"/>
        </w:rPr>
      </w:pPr>
      <w:r>
        <w:rPr>
          <w:rFonts w:ascii="Times New Roman" w:hAnsi="Times New Roman" w:eastAsia="仿宋_GB2312" w:cs="Times New Roman"/>
          <w:b/>
          <w:color w:val="000000"/>
          <w:sz w:val="28"/>
          <w:szCs w:val="28"/>
          <w:highlight w:val="none"/>
        </w:rPr>
        <w:t xml:space="preserve">    </w:t>
      </w:r>
      <w:r>
        <w:rPr>
          <w:rFonts w:ascii="Times New Roman" w:hAnsi="Times New Roman" w:eastAsia="仿宋_GB2312" w:cs="Times New Roman"/>
          <w:color w:val="000000"/>
          <w:sz w:val="18"/>
          <w:szCs w:val="18"/>
          <w:highlight w:val="none"/>
        </w:rPr>
        <w:t>单位：元/平方米</w:t>
      </w:r>
    </w:p>
    <w:tbl>
      <w:tblPr>
        <w:tblStyle w:val="14"/>
        <w:tblpPr w:leftFromText="180" w:rightFromText="180" w:vertAnchor="text" w:horzAnchor="page" w:tblpX="825" w:tblpY="222"/>
        <w:tblOverlap w:val="never"/>
        <w:tblW w:w="628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8"/>
        <w:gridCol w:w="1110"/>
        <w:gridCol w:w="1125"/>
        <w:gridCol w:w="1112"/>
        <w:gridCol w:w="1138"/>
        <w:gridCol w:w="1110"/>
        <w:gridCol w:w="1157"/>
        <w:gridCol w:w="1140"/>
        <w:gridCol w:w="1125"/>
        <w:gridCol w:w="1140"/>
      </w:tblGrid>
      <w:tr w14:paraId="22B6C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48" w:type="dxa"/>
            <w:vMerge w:val="restart"/>
            <w:tcBorders>
              <w:tl2br w:val="nil"/>
              <w:tr2bl w:val="nil"/>
            </w:tcBorders>
            <w:noWrap w:val="0"/>
            <w:vAlign w:val="center"/>
          </w:tcPr>
          <w:p w14:paraId="5307617F">
            <w:pPr>
              <w:jc w:val="center"/>
              <w:rPr>
                <w:rFonts w:ascii="Times New Roman" w:hAnsi="Times New Roman" w:eastAsia="仿宋_GB2312" w:cs="Times New Roman"/>
                <w:b/>
                <w:sz w:val="24"/>
                <w:highlight w:val="none"/>
              </w:rPr>
            </w:pPr>
            <w:r>
              <w:rPr>
                <w:rFonts w:ascii="Times New Roman" w:hAnsi="Times New Roman" w:eastAsia="仿宋_GB2312" w:cs="Times New Roman"/>
                <w:b/>
                <w:sz w:val="24"/>
                <w:highlight w:val="none"/>
              </w:rPr>
              <w:t>土地级别</w:t>
            </w:r>
          </w:p>
        </w:tc>
        <w:tc>
          <w:tcPr>
            <w:tcW w:w="3347" w:type="dxa"/>
            <w:gridSpan w:val="3"/>
            <w:tcBorders>
              <w:tl2br w:val="nil"/>
              <w:tr2bl w:val="nil"/>
            </w:tcBorders>
            <w:noWrap w:val="0"/>
            <w:vAlign w:val="center"/>
          </w:tcPr>
          <w:p w14:paraId="29AE2A49">
            <w:pPr>
              <w:jc w:val="center"/>
              <w:rPr>
                <w:rFonts w:hint="eastAsia" w:ascii="Times New Roman" w:hAnsi="Times New Roman" w:eastAsia="仿宋_GB2312" w:cs="Times New Roman"/>
                <w:b/>
                <w:sz w:val="24"/>
                <w:highlight w:val="none"/>
                <w:lang w:eastAsia="zh-CN"/>
              </w:rPr>
            </w:pPr>
            <w:r>
              <w:rPr>
                <w:rFonts w:ascii="Times New Roman" w:hAnsi="Times New Roman" w:eastAsia="仿宋_GB2312" w:cs="Times New Roman"/>
                <w:b/>
                <w:sz w:val="24"/>
                <w:highlight w:val="none"/>
              </w:rPr>
              <w:t>旱</w:t>
            </w:r>
            <w:r>
              <w:rPr>
                <w:rFonts w:hint="eastAsia" w:ascii="Times New Roman" w:hAnsi="Times New Roman" w:eastAsia="仿宋_GB2312" w:cs="Times New Roman"/>
                <w:b/>
                <w:sz w:val="24"/>
                <w:highlight w:val="none"/>
                <w:lang w:eastAsia="zh-CN"/>
              </w:rPr>
              <w:t>地</w:t>
            </w:r>
          </w:p>
        </w:tc>
        <w:tc>
          <w:tcPr>
            <w:tcW w:w="3405" w:type="dxa"/>
            <w:gridSpan w:val="3"/>
            <w:tcBorders>
              <w:tl2br w:val="nil"/>
              <w:tr2bl w:val="nil"/>
            </w:tcBorders>
            <w:noWrap w:val="0"/>
            <w:vAlign w:val="center"/>
          </w:tcPr>
          <w:p w14:paraId="1AD7D669">
            <w:pPr>
              <w:jc w:val="center"/>
              <w:rPr>
                <w:rFonts w:ascii="Times New Roman" w:hAnsi="Times New Roman" w:eastAsia="仿宋_GB2312" w:cs="Times New Roman"/>
                <w:b/>
                <w:sz w:val="24"/>
                <w:highlight w:val="none"/>
              </w:rPr>
            </w:pPr>
            <w:r>
              <w:rPr>
                <w:rFonts w:ascii="Times New Roman" w:hAnsi="Times New Roman" w:eastAsia="仿宋_GB2312" w:cs="Times New Roman"/>
                <w:b/>
                <w:sz w:val="24"/>
                <w:highlight w:val="none"/>
              </w:rPr>
              <w:t>水田</w:t>
            </w:r>
          </w:p>
        </w:tc>
        <w:tc>
          <w:tcPr>
            <w:tcW w:w="3405" w:type="dxa"/>
            <w:gridSpan w:val="3"/>
            <w:tcBorders>
              <w:tl2br w:val="nil"/>
              <w:tr2bl w:val="nil"/>
            </w:tcBorders>
            <w:noWrap w:val="0"/>
            <w:vAlign w:val="center"/>
          </w:tcPr>
          <w:p w14:paraId="60163CA5">
            <w:pPr>
              <w:jc w:val="center"/>
              <w:rPr>
                <w:rFonts w:hint="eastAsia" w:ascii="Times New Roman" w:hAnsi="Times New Roman" w:eastAsia="仿宋_GB2312" w:cs="Times New Roman"/>
                <w:b/>
                <w:sz w:val="24"/>
                <w:highlight w:val="none"/>
                <w:lang w:val="en-US" w:eastAsia="zh-CN"/>
              </w:rPr>
            </w:pPr>
            <w:r>
              <w:rPr>
                <w:rFonts w:hint="eastAsia" w:ascii="Times New Roman" w:hAnsi="Times New Roman" w:eastAsia="仿宋_GB2312" w:cs="Times New Roman"/>
                <w:b/>
                <w:sz w:val="24"/>
                <w:highlight w:val="none"/>
                <w:lang w:val="en-US" w:eastAsia="zh-CN"/>
              </w:rPr>
              <w:t>水浇地</w:t>
            </w:r>
          </w:p>
        </w:tc>
      </w:tr>
      <w:tr w14:paraId="4A535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48" w:type="dxa"/>
            <w:vMerge w:val="continue"/>
            <w:tcBorders>
              <w:tl2br w:val="nil"/>
              <w:tr2bl w:val="nil"/>
            </w:tcBorders>
            <w:noWrap w:val="0"/>
            <w:vAlign w:val="center"/>
          </w:tcPr>
          <w:p w14:paraId="303D1A71">
            <w:pPr>
              <w:jc w:val="center"/>
              <w:rPr>
                <w:rFonts w:ascii="Times New Roman" w:hAnsi="Times New Roman" w:eastAsia="仿宋_GB2312" w:cs="Times New Roman"/>
                <w:b/>
                <w:sz w:val="24"/>
                <w:highlight w:val="none"/>
              </w:rPr>
            </w:pPr>
          </w:p>
        </w:tc>
        <w:tc>
          <w:tcPr>
            <w:tcW w:w="1110" w:type="dxa"/>
            <w:tcBorders>
              <w:tl2br w:val="nil"/>
              <w:tr2bl w:val="nil"/>
            </w:tcBorders>
            <w:noWrap w:val="0"/>
            <w:vAlign w:val="center"/>
          </w:tcPr>
          <w:p w14:paraId="477F8CF4">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国有农用地使用权（50年）</w:t>
            </w:r>
          </w:p>
        </w:tc>
        <w:tc>
          <w:tcPr>
            <w:tcW w:w="1125" w:type="dxa"/>
            <w:tcBorders>
              <w:tl2br w:val="nil"/>
              <w:tr2bl w:val="nil"/>
            </w:tcBorders>
            <w:noWrap w:val="0"/>
            <w:vAlign w:val="center"/>
          </w:tcPr>
          <w:p w14:paraId="486F3E7D">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集体农用地承包经营权（30年）</w:t>
            </w:r>
          </w:p>
        </w:tc>
        <w:tc>
          <w:tcPr>
            <w:tcW w:w="1112" w:type="dxa"/>
            <w:tcBorders>
              <w:tl2br w:val="nil"/>
              <w:tr2bl w:val="nil"/>
            </w:tcBorders>
            <w:noWrap w:val="0"/>
            <w:vAlign w:val="center"/>
          </w:tcPr>
          <w:p w14:paraId="27542EC7">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集体农用地经营权（1年）</w:t>
            </w:r>
          </w:p>
        </w:tc>
        <w:tc>
          <w:tcPr>
            <w:tcW w:w="1138" w:type="dxa"/>
            <w:tcBorders>
              <w:tl2br w:val="nil"/>
              <w:tr2bl w:val="nil"/>
            </w:tcBorders>
            <w:noWrap w:val="0"/>
            <w:vAlign w:val="center"/>
          </w:tcPr>
          <w:p w14:paraId="4F1D0BCF">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国有农用地使用权（50年）</w:t>
            </w:r>
          </w:p>
        </w:tc>
        <w:tc>
          <w:tcPr>
            <w:tcW w:w="1110" w:type="dxa"/>
            <w:tcBorders>
              <w:tl2br w:val="nil"/>
              <w:tr2bl w:val="nil"/>
            </w:tcBorders>
            <w:noWrap w:val="0"/>
            <w:vAlign w:val="center"/>
          </w:tcPr>
          <w:p w14:paraId="4F5FE01C">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集体农用地承包经营权（30年）</w:t>
            </w:r>
          </w:p>
        </w:tc>
        <w:tc>
          <w:tcPr>
            <w:tcW w:w="1157" w:type="dxa"/>
            <w:tcBorders>
              <w:tl2br w:val="nil"/>
              <w:tr2bl w:val="nil"/>
            </w:tcBorders>
            <w:noWrap w:val="0"/>
            <w:vAlign w:val="center"/>
          </w:tcPr>
          <w:p w14:paraId="43AD2251">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集体农用地经营权（1年）</w:t>
            </w:r>
          </w:p>
        </w:tc>
        <w:tc>
          <w:tcPr>
            <w:tcW w:w="1140" w:type="dxa"/>
            <w:tcBorders>
              <w:right w:val="single" w:color="auto" w:sz="4" w:space="0"/>
              <w:tl2br w:val="nil"/>
              <w:tr2bl w:val="nil"/>
            </w:tcBorders>
            <w:noWrap w:val="0"/>
            <w:vAlign w:val="center"/>
          </w:tcPr>
          <w:p w14:paraId="39147273">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国有农用地使用权（50年）</w:t>
            </w:r>
          </w:p>
        </w:tc>
        <w:tc>
          <w:tcPr>
            <w:tcW w:w="1125" w:type="dxa"/>
            <w:tcBorders>
              <w:left w:val="single" w:color="auto" w:sz="4" w:space="0"/>
              <w:right w:val="single" w:color="auto" w:sz="4" w:space="0"/>
              <w:tl2br w:val="nil"/>
              <w:tr2bl w:val="nil"/>
            </w:tcBorders>
            <w:noWrap w:val="0"/>
            <w:vAlign w:val="center"/>
          </w:tcPr>
          <w:p w14:paraId="1B708A05">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集体农用地承包经营权（30年）</w:t>
            </w:r>
          </w:p>
        </w:tc>
        <w:tc>
          <w:tcPr>
            <w:tcW w:w="1140" w:type="dxa"/>
            <w:tcBorders>
              <w:left w:val="single" w:color="auto" w:sz="4" w:space="0"/>
              <w:tl2br w:val="nil"/>
              <w:tr2bl w:val="nil"/>
            </w:tcBorders>
            <w:noWrap w:val="0"/>
            <w:vAlign w:val="center"/>
          </w:tcPr>
          <w:p w14:paraId="1E25BEDE">
            <w:pPr>
              <w:jc w:val="center"/>
              <w:rPr>
                <w:rFonts w:hint="eastAsia" w:ascii="仿宋_GB2312" w:hAnsi="Times New Roman" w:eastAsia="仿宋_GB2312" w:cs="Times New Roman"/>
                <w:kern w:val="2"/>
                <w:sz w:val="24"/>
                <w:szCs w:val="24"/>
                <w:highlight w:val="none"/>
                <w:lang w:val="en-US" w:eastAsia="zh-CN" w:bidi="ar-SA"/>
              </w:rPr>
            </w:pPr>
            <w:r>
              <w:rPr>
                <w:rFonts w:hint="eastAsia" w:ascii="仿宋_GB2312" w:hAnsi="Times New Roman" w:eastAsia="仿宋_GB2312" w:cs="Times New Roman"/>
                <w:sz w:val="24"/>
                <w:szCs w:val="24"/>
                <w:highlight w:val="none"/>
                <w:lang w:val="en-US" w:eastAsia="zh-CN"/>
              </w:rPr>
              <w:t>集体农用地经营权（1年）</w:t>
            </w:r>
          </w:p>
        </w:tc>
      </w:tr>
      <w:tr w14:paraId="259B73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48" w:type="dxa"/>
            <w:tcBorders>
              <w:tl2br w:val="nil"/>
              <w:tr2bl w:val="nil"/>
            </w:tcBorders>
            <w:noWrap w:val="0"/>
            <w:vAlign w:val="center"/>
          </w:tcPr>
          <w:p w14:paraId="779C5C9D">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ascii="Times New Roman" w:hAnsi="Times New Roman" w:eastAsia="仿宋_GB2312"/>
                <w:color w:val="000000"/>
                <w:kern w:val="0"/>
                <w:sz w:val="24"/>
                <w:szCs w:val="24"/>
                <w:highlight w:val="none"/>
              </w:rPr>
              <w:t>Ⅰ</w:t>
            </w:r>
          </w:p>
        </w:tc>
        <w:tc>
          <w:tcPr>
            <w:tcW w:w="1110" w:type="dxa"/>
            <w:tcBorders>
              <w:tl2br w:val="nil"/>
              <w:tr2bl w:val="nil"/>
            </w:tcBorders>
            <w:noWrap w:val="0"/>
            <w:vAlign w:val="center"/>
          </w:tcPr>
          <w:p w14:paraId="059EAEC2">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22.7</w:t>
            </w:r>
          </w:p>
        </w:tc>
        <w:tc>
          <w:tcPr>
            <w:tcW w:w="1125" w:type="dxa"/>
            <w:tcBorders>
              <w:tl2br w:val="nil"/>
              <w:tr2bl w:val="nil"/>
            </w:tcBorders>
            <w:noWrap w:val="0"/>
            <w:vAlign w:val="center"/>
          </w:tcPr>
          <w:p w14:paraId="52A90963">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19.3</w:t>
            </w:r>
          </w:p>
        </w:tc>
        <w:tc>
          <w:tcPr>
            <w:tcW w:w="1112" w:type="dxa"/>
            <w:tcBorders>
              <w:tl2br w:val="nil"/>
              <w:tr2bl w:val="nil"/>
            </w:tcBorders>
            <w:noWrap w:val="0"/>
            <w:vAlign w:val="center"/>
          </w:tcPr>
          <w:p w14:paraId="69316064">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0.88</w:t>
            </w:r>
          </w:p>
        </w:tc>
        <w:tc>
          <w:tcPr>
            <w:tcW w:w="1138" w:type="dxa"/>
            <w:tcBorders>
              <w:tl2br w:val="nil"/>
              <w:tr2bl w:val="nil"/>
            </w:tcBorders>
            <w:noWrap w:val="0"/>
            <w:vAlign w:val="center"/>
          </w:tcPr>
          <w:p w14:paraId="7B5C0A7F">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25.4</w:t>
            </w:r>
          </w:p>
        </w:tc>
        <w:tc>
          <w:tcPr>
            <w:tcW w:w="1110" w:type="dxa"/>
            <w:tcBorders>
              <w:tl2br w:val="nil"/>
              <w:tr2bl w:val="nil"/>
            </w:tcBorders>
            <w:noWrap w:val="0"/>
            <w:vAlign w:val="center"/>
          </w:tcPr>
          <w:p w14:paraId="7405DD02">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21.2</w:t>
            </w:r>
          </w:p>
        </w:tc>
        <w:tc>
          <w:tcPr>
            <w:tcW w:w="1157" w:type="dxa"/>
            <w:tcBorders>
              <w:tl2br w:val="nil"/>
              <w:tr2bl w:val="nil"/>
            </w:tcBorders>
            <w:noWrap w:val="0"/>
            <w:vAlign w:val="center"/>
          </w:tcPr>
          <w:p w14:paraId="0DD7FC76">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0.89</w:t>
            </w:r>
          </w:p>
        </w:tc>
        <w:tc>
          <w:tcPr>
            <w:tcW w:w="1140" w:type="dxa"/>
            <w:tcBorders>
              <w:right w:val="single" w:color="auto" w:sz="4" w:space="0"/>
              <w:tl2br w:val="nil"/>
              <w:tr2bl w:val="nil"/>
            </w:tcBorders>
            <w:noWrap w:val="0"/>
            <w:vAlign w:val="center"/>
          </w:tcPr>
          <w:p w14:paraId="495DEE4C">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29.2</w:t>
            </w:r>
          </w:p>
        </w:tc>
        <w:tc>
          <w:tcPr>
            <w:tcW w:w="1125" w:type="dxa"/>
            <w:tcBorders>
              <w:left w:val="single" w:color="auto" w:sz="4" w:space="0"/>
              <w:right w:val="single" w:color="auto" w:sz="4" w:space="0"/>
              <w:tl2br w:val="nil"/>
              <w:tr2bl w:val="nil"/>
            </w:tcBorders>
            <w:noWrap w:val="0"/>
            <w:vAlign w:val="center"/>
          </w:tcPr>
          <w:p w14:paraId="02557DF3">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24.4</w:t>
            </w:r>
          </w:p>
        </w:tc>
        <w:tc>
          <w:tcPr>
            <w:tcW w:w="1140" w:type="dxa"/>
            <w:tcBorders>
              <w:left w:val="single" w:color="auto" w:sz="4" w:space="0"/>
              <w:tl2br w:val="nil"/>
              <w:tr2bl w:val="nil"/>
            </w:tcBorders>
            <w:noWrap w:val="0"/>
            <w:vAlign w:val="center"/>
          </w:tcPr>
          <w:p w14:paraId="2EE11989">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1.02</w:t>
            </w:r>
          </w:p>
        </w:tc>
      </w:tr>
      <w:tr w14:paraId="11A3ED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48" w:type="dxa"/>
            <w:tcBorders>
              <w:tl2br w:val="nil"/>
              <w:tr2bl w:val="nil"/>
            </w:tcBorders>
            <w:noWrap w:val="0"/>
            <w:vAlign w:val="center"/>
          </w:tcPr>
          <w:p w14:paraId="430BE335">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ascii="Times New Roman" w:hAnsi="Times New Roman" w:eastAsia="仿宋_GB2312"/>
                <w:color w:val="000000"/>
                <w:kern w:val="0"/>
                <w:sz w:val="24"/>
                <w:szCs w:val="24"/>
                <w:highlight w:val="none"/>
              </w:rPr>
              <w:t>Ⅱ</w:t>
            </w:r>
          </w:p>
        </w:tc>
        <w:tc>
          <w:tcPr>
            <w:tcW w:w="1110" w:type="dxa"/>
            <w:tcBorders>
              <w:tl2br w:val="nil"/>
              <w:tr2bl w:val="nil"/>
            </w:tcBorders>
            <w:noWrap w:val="0"/>
            <w:vAlign w:val="center"/>
          </w:tcPr>
          <w:p w14:paraId="7C0F5744">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21.5</w:t>
            </w:r>
          </w:p>
        </w:tc>
        <w:tc>
          <w:tcPr>
            <w:tcW w:w="1125" w:type="dxa"/>
            <w:tcBorders>
              <w:tl2br w:val="nil"/>
              <w:tr2bl w:val="nil"/>
            </w:tcBorders>
            <w:noWrap w:val="0"/>
            <w:vAlign w:val="center"/>
          </w:tcPr>
          <w:p w14:paraId="171EAA0B">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18.3</w:t>
            </w:r>
          </w:p>
        </w:tc>
        <w:tc>
          <w:tcPr>
            <w:tcW w:w="1112" w:type="dxa"/>
            <w:tcBorders>
              <w:tl2br w:val="nil"/>
              <w:tr2bl w:val="nil"/>
            </w:tcBorders>
            <w:noWrap w:val="0"/>
            <w:vAlign w:val="center"/>
          </w:tcPr>
          <w:p w14:paraId="5FFB0AD9">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0.78</w:t>
            </w:r>
          </w:p>
        </w:tc>
        <w:tc>
          <w:tcPr>
            <w:tcW w:w="1138" w:type="dxa"/>
            <w:tcBorders>
              <w:tl2br w:val="nil"/>
              <w:tr2bl w:val="nil"/>
            </w:tcBorders>
            <w:noWrap w:val="0"/>
            <w:vAlign w:val="center"/>
          </w:tcPr>
          <w:p w14:paraId="65A69DBD">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24.3</w:t>
            </w:r>
          </w:p>
        </w:tc>
        <w:tc>
          <w:tcPr>
            <w:tcW w:w="1110" w:type="dxa"/>
            <w:tcBorders>
              <w:tl2br w:val="nil"/>
              <w:tr2bl w:val="nil"/>
            </w:tcBorders>
            <w:noWrap w:val="0"/>
            <w:vAlign w:val="center"/>
          </w:tcPr>
          <w:p w14:paraId="3778E24D">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20.3</w:t>
            </w:r>
          </w:p>
        </w:tc>
        <w:tc>
          <w:tcPr>
            <w:tcW w:w="1157" w:type="dxa"/>
            <w:tcBorders>
              <w:tl2br w:val="nil"/>
              <w:tr2bl w:val="nil"/>
            </w:tcBorders>
            <w:noWrap w:val="0"/>
            <w:vAlign w:val="center"/>
          </w:tcPr>
          <w:p w14:paraId="550DC1D9">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0.79</w:t>
            </w:r>
          </w:p>
        </w:tc>
        <w:tc>
          <w:tcPr>
            <w:tcW w:w="1140" w:type="dxa"/>
            <w:tcBorders>
              <w:right w:val="single" w:color="auto" w:sz="4" w:space="0"/>
              <w:tl2br w:val="nil"/>
              <w:tr2bl w:val="nil"/>
            </w:tcBorders>
            <w:noWrap w:val="0"/>
            <w:vAlign w:val="center"/>
          </w:tcPr>
          <w:p w14:paraId="10BF67A3">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27.9</w:t>
            </w:r>
          </w:p>
        </w:tc>
        <w:tc>
          <w:tcPr>
            <w:tcW w:w="1125" w:type="dxa"/>
            <w:tcBorders>
              <w:left w:val="single" w:color="auto" w:sz="4" w:space="0"/>
              <w:right w:val="single" w:color="auto" w:sz="4" w:space="0"/>
              <w:tl2br w:val="nil"/>
              <w:tr2bl w:val="nil"/>
            </w:tcBorders>
            <w:noWrap w:val="0"/>
            <w:vAlign w:val="center"/>
          </w:tcPr>
          <w:p w14:paraId="22873A84">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23.3</w:t>
            </w:r>
          </w:p>
        </w:tc>
        <w:tc>
          <w:tcPr>
            <w:tcW w:w="1140" w:type="dxa"/>
            <w:tcBorders>
              <w:left w:val="single" w:color="auto" w:sz="4" w:space="0"/>
              <w:tl2br w:val="nil"/>
              <w:tr2bl w:val="nil"/>
            </w:tcBorders>
            <w:noWrap w:val="0"/>
            <w:vAlign w:val="center"/>
          </w:tcPr>
          <w:p w14:paraId="73E12E32">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0.91</w:t>
            </w:r>
          </w:p>
        </w:tc>
      </w:tr>
      <w:tr w14:paraId="7A7AA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48" w:type="dxa"/>
            <w:tcBorders>
              <w:tl2br w:val="nil"/>
              <w:tr2bl w:val="nil"/>
            </w:tcBorders>
            <w:noWrap w:val="0"/>
            <w:vAlign w:val="center"/>
          </w:tcPr>
          <w:p w14:paraId="024DBC24">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ascii="Times New Roman" w:hAnsi="Times New Roman" w:eastAsia="仿宋_GB2312"/>
                <w:color w:val="000000"/>
                <w:kern w:val="0"/>
                <w:sz w:val="24"/>
                <w:szCs w:val="24"/>
                <w:highlight w:val="none"/>
              </w:rPr>
              <w:t>Ⅲ</w:t>
            </w:r>
          </w:p>
        </w:tc>
        <w:tc>
          <w:tcPr>
            <w:tcW w:w="1110" w:type="dxa"/>
            <w:tcBorders>
              <w:tl2br w:val="nil"/>
              <w:tr2bl w:val="nil"/>
            </w:tcBorders>
            <w:noWrap w:val="0"/>
            <w:vAlign w:val="center"/>
          </w:tcPr>
          <w:p w14:paraId="42C5FF04">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20.6</w:t>
            </w:r>
          </w:p>
        </w:tc>
        <w:tc>
          <w:tcPr>
            <w:tcW w:w="1125" w:type="dxa"/>
            <w:tcBorders>
              <w:tl2br w:val="nil"/>
              <w:tr2bl w:val="nil"/>
            </w:tcBorders>
            <w:noWrap w:val="0"/>
            <w:vAlign w:val="center"/>
          </w:tcPr>
          <w:p w14:paraId="59197F73">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17.6</w:t>
            </w:r>
          </w:p>
        </w:tc>
        <w:tc>
          <w:tcPr>
            <w:tcW w:w="1112" w:type="dxa"/>
            <w:tcBorders>
              <w:tl2br w:val="nil"/>
              <w:tr2bl w:val="nil"/>
            </w:tcBorders>
            <w:noWrap w:val="0"/>
            <w:vAlign w:val="center"/>
          </w:tcPr>
          <w:p w14:paraId="74F23880">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0.65</w:t>
            </w:r>
          </w:p>
        </w:tc>
        <w:tc>
          <w:tcPr>
            <w:tcW w:w="1138" w:type="dxa"/>
            <w:tcBorders>
              <w:tl2br w:val="nil"/>
              <w:tr2bl w:val="nil"/>
            </w:tcBorders>
            <w:noWrap w:val="0"/>
            <w:vAlign w:val="center"/>
          </w:tcPr>
          <w:p w14:paraId="5C63AC6C">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23.6</w:t>
            </w:r>
          </w:p>
        </w:tc>
        <w:tc>
          <w:tcPr>
            <w:tcW w:w="1110" w:type="dxa"/>
            <w:tcBorders>
              <w:tl2br w:val="nil"/>
              <w:tr2bl w:val="nil"/>
            </w:tcBorders>
            <w:noWrap w:val="0"/>
            <w:vAlign w:val="center"/>
          </w:tcPr>
          <w:p w14:paraId="44F4BAE5">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19.7</w:t>
            </w:r>
          </w:p>
        </w:tc>
        <w:tc>
          <w:tcPr>
            <w:tcW w:w="1157" w:type="dxa"/>
            <w:tcBorders>
              <w:tl2br w:val="nil"/>
              <w:tr2bl w:val="nil"/>
            </w:tcBorders>
            <w:noWrap w:val="0"/>
            <w:vAlign w:val="center"/>
          </w:tcPr>
          <w:p w14:paraId="4D5C9360">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0.64</w:t>
            </w:r>
          </w:p>
        </w:tc>
        <w:tc>
          <w:tcPr>
            <w:tcW w:w="1140" w:type="dxa"/>
            <w:tcBorders>
              <w:right w:val="single" w:color="auto" w:sz="4" w:space="0"/>
              <w:tl2br w:val="nil"/>
              <w:tr2bl w:val="nil"/>
            </w:tcBorders>
            <w:noWrap w:val="0"/>
            <w:vAlign w:val="center"/>
          </w:tcPr>
          <w:p w14:paraId="40EC5F46">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27.1</w:t>
            </w:r>
          </w:p>
        </w:tc>
        <w:tc>
          <w:tcPr>
            <w:tcW w:w="1125" w:type="dxa"/>
            <w:tcBorders>
              <w:left w:val="single" w:color="auto" w:sz="4" w:space="0"/>
              <w:right w:val="single" w:color="auto" w:sz="4" w:space="0"/>
              <w:tl2br w:val="nil"/>
              <w:tr2bl w:val="nil"/>
            </w:tcBorders>
            <w:noWrap w:val="0"/>
            <w:vAlign w:val="center"/>
          </w:tcPr>
          <w:p w14:paraId="3873E1CE">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22.7</w:t>
            </w:r>
          </w:p>
        </w:tc>
        <w:tc>
          <w:tcPr>
            <w:tcW w:w="1140" w:type="dxa"/>
            <w:tcBorders>
              <w:left w:val="single" w:color="auto" w:sz="4" w:space="0"/>
              <w:tl2br w:val="nil"/>
              <w:tr2bl w:val="nil"/>
            </w:tcBorders>
            <w:noWrap w:val="0"/>
            <w:vAlign w:val="center"/>
          </w:tcPr>
          <w:p w14:paraId="59DBF216">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0.74</w:t>
            </w:r>
          </w:p>
        </w:tc>
      </w:tr>
    </w:tbl>
    <w:p w14:paraId="1701883C">
      <w:pPr>
        <w:numPr>
          <w:ilvl w:val="0"/>
          <w:numId w:val="0"/>
        </w:numPr>
        <w:ind w:firstLine="640"/>
        <w:jc w:val="lef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eastAsia="zh-CN"/>
        </w:rPr>
        <w:t>五、</w:t>
      </w:r>
      <w:r>
        <w:rPr>
          <w:rFonts w:hint="eastAsia" w:ascii="Times New Roman" w:hAnsi="Times New Roman" w:eastAsia="仿宋_GB2312" w:cs="Times New Roman"/>
          <w:sz w:val="32"/>
          <w:szCs w:val="32"/>
          <w:highlight w:val="none"/>
          <w:lang w:val="en-US" w:eastAsia="zh-CN"/>
        </w:rPr>
        <w:t>本基准地价标准自发布之日起施行，有效期五年。</w:t>
      </w:r>
    </w:p>
    <w:p w14:paraId="7DF2C1D0">
      <w:pPr>
        <w:rPr>
          <w:rFonts w:hint="eastAsia" w:ascii="Times New Roman" w:hAnsi="Times New Roman" w:eastAsia="仿宋_GB2312" w:cs="Times New Roman"/>
          <w:sz w:val="32"/>
          <w:szCs w:val="32"/>
          <w:highlight w:val="none"/>
          <w:lang w:eastAsia="zh-CN"/>
        </w:rPr>
      </w:pPr>
    </w:p>
    <w:p w14:paraId="599E5C10">
      <w:pPr>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附件：</w:t>
      </w:r>
      <w:r>
        <w:rPr>
          <w:rFonts w:hint="eastAsia"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lang w:eastAsia="zh-CN"/>
        </w:rPr>
        <w:t>牡丹江市区农用地基准地价内涵</w:t>
      </w:r>
    </w:p>
    <w:p w14:paraId="2BE56C49">
      <w:pPr>
        <w:numPr>
          <w:ilvl w:val="0"/>
          <w:numId w:val="0"/>
        </w:numPr>
        <w:ind w:left="944" w:leftChars="0"/>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2.牡</w:t>
      </w:r>
      <w:r>
        <w:rPr>
          <w:rFonts w:hint="eastAsia" w:ascii="Times New Roman" w:hAnsi="Times New Roman" w:eastAsia="仿宋_GB2312" w:cs="Times New Roman"/>
          <w:sz w:val="32"/>
          <w:szCs w:val="32"/>
          <w:highlight w:val="none"/>
          <w:lang w:eastAsia="zh-CN"/>
        </w:rPr>
        <w:t>丹江市区农用地土地级别表</w:t>
      </w:r>
    </w:p>
    <w:p w14:paraId="2EABFC9B">
      <w:pPr>
        <w:numPr>
          <w:ilvl w:val="0"/>
          <w:numId w:val="0"/>
        </w:numPr>
        <w:ind w:left="944" w:leftChars="0"/>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牡丹江市区农用地土地级别范围表</w:t>
      </w:r>
    </w:p>
    <w:p w14:paraId="2D8D1C2D">
      <w:pPr>
        <w:numPr>
          <w:ilvl w:val="0"/>
          <w:numId w:val="0"/>
        </w:numPr>
        <w:ind w:left="1263" w:leftChars="449" w:hanging="320" w:hangingChars="1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4.</w:t>
      </w:r>
      <w:r>
        <w:rPr>
          <w:rFonts w:hint="eastAsia" w:ascii="Times New Roman" w:hAnsi="Times New Roman" w:eastAsia="仿宋_GB2312" w:cs="Times New Roman"/>
          <w:sz w:val="32"/>
          <w:szCs w:val="32"/>
          <w:highlight w:val="none"/>
          <w:lang w:eastAsia="zh-CN"/>
        </w:rPr>
        <w:t>牡丹江市区农用地基准地价测算用途及适用范围</w:t>
      </w:r>
    </w:p>
    <w:p w14:paraId="6DA7C571">
      <w:pPr>
        <w:widowControl/>
        <w:spacing w:line="408" w:lineRule="atLeast"/>
        <w:jc w:val="left"/>
        <w:textAlignment w:val="baseline"/>
        <w:rPr>
          <w:rFonts w:hint="eastAsia" w:ascii="仿宋" w:hAnsi="仿宋" w:eastAsia="仿宋" w:cs="仿宋"/>
          <w:b/>
          <w:color w:val="000000"/>
          <w:sz w:val="32"/>
          <w:szCs w:val="32"/>
          <w:highlight w:val="none"/>
          <w:lang w:eastAsia="zh-CN"/>
        </w:rPr>
      </w:pPr>
    </w:p>
    <w:p w14:paraId="5718CA8B">
      <w:pPr>
        <w:widowControl/>
        <w:spacing w:line="408" w:lineRule="atLeast"/>
        <w:jc w:val="left"/>
        <w:textAlignment w:val="baseline"/>
        <w:rPr>
          <w:rFonts w:hint="eastAsia" w:ascii="仿宋" w:hAnsi="仿宋" w:eastAsia="仿宋" w:cs="仿宋"/>
          <w:b/>
          <w:color w:val="000000"/>
          <w:sz w:val="32"/>
          <w:szCs w:val="32"/>
          <w:highlight w:val="none"/>
          <w:lang w:val="en-US" w:eastAsia="zh-CN"/>
        </w:rPr>
      </w:pPr>
      <w:r>
        <w:rPr>
          <w:rFonts w:hint="eastAsia" w:ascii="仿宋" w:hAnsi="仿宋" w:eastAsia="仿宋" w:cs="仿宋"/>
          <w:b/>
          <w:color w:val="000000"/>
          <w:sz w:val="32"/>
          <w:szCs w:val="32"/>
          <w:highlight w:val="none"/>
          <w:lang w:eastAsia="zh-CN"/>
        </w:rPr>
        <w:t>附件</w:t>
      </w:r>
      <w:r>
        <w:rPr>
          <w:rFonts w:hint="eastAsia" w:ascii="仿宋" w:hAnsi="仿宋" w:eastAsia="仿宋" w:cs="仿宋"/>
          <w:b/>
          <w:color w:val="000000"/>
          <w:sz w:val="32"/>
          <w:szCs w:val="32"/>
          <w:highlight w:val="none"/>
          <w:lang w:val="en-US" w:eastAsia="zh-CN"/>
        </w:rPr>
        <w:t>1</w:t>
      </w:r>
    </w:p>
    <w:p w14:paraId="34FDD97C">
      <w:pPr>
        <w:widowControl/>
        <w:spacing w:line="408" w:lineRule="atLeast"/>
        <w:jc w:val="center"/>
        <w:textAlignment w:val="baseline"/>
        <w:rPr>
          <w:rFonts w:ascii="Times New Roman" w:hAnsi="Times New Roman" w:eastAsia="仿宋_GB2312"/>
          <w:b/>
          <w:color w:val="000000"/>
          <w:sz w:val="36"/>
          <w:szCs w:val="36"/>
          <w:highlight w:val="none"/>
        </w:rPr>
      </w:pPr>
      <w:r>
        <w:rPr>
          <w:rFonts w:hint="eastAsia" w:ascii="Times New Roman" w:hAnsi="Times New Roman" w:eastAsia="仿宋_GB2312"/>
          <w:b/>
          <w:color w:val="000000"/>
          <w:sz w:val="36"/>
          <w:szCs w:val="36"/>
          <w:highlight w:val="none"/>
        </w:rPr>
        <w:t>牡丹江市区</w:t>
      </w:r>
      <w:r>
        <w:rPr>
          <w:rFonts w:hint="eastAsia" w:ascii="Times New Roman" w:hAnsi="Times New Roman" w:eastAsia="仿宋_GB2312"/>
          <w:b/>
          <w:color w:val="000000"/>
          <w:sz w:val="36"/>
          <w:szCs w:val="36"/>
          <w:highlight w:val="none"/>
          <w:lang w:eastAsia="zh-CN"/>
        </w:rPr>
        <w:t>农用地</w:t>
      </w:r>
      <w:r>
        <w:rPr>
          <w:rFonts w:ascii="Times New Roman" w:hAnsi="Times New Roman" w:eastAsia="仿宋_GB2312"/>
          <w:b/>
          <w:color w:val="000000"/>
          <w:sz w:val="36"/>
          <w:szCs w:val="36"/>
          <w:highlight w:val="none"/>
        </w:rPr>
        <w:t>基准地价内涵</w:t>
      </w:r>
    </w:p>
    <w:p w14:paraId="5B1C8580">
      <w:pPr>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cs="Times New Roman"/>
          <w:sz w:val="32"/>
          <w:szCs w:val="32"/>
          <w:highlight w:val="none"/>
          <w:lang w:val="en-US" w:eastAsia="zh-CN"/>
        </w:rPr>
        <w:t>政府根据需要针对</w:t>
      </w:r>
      <w:r>
        <w:rPr>
          <w:rFonts w:hint="eastAsia" w:ascii="Times New Roman" w:hAnsi="Times New Roman" w:eastAsia="仿宋_GB2312"/>
          <w:sz w:val="32"/>
          <w:szCs w:val="32"/>
          <w:highlight w:val="none"/>
        </w:rPr>
        <w:t>不同级别</w:t>
      </w:r>
      <w:r>
        <w:rPr>
          <w:rFonts w:hint="eastAsia" w:ascii="Times New Roman" w:hAnsi="Times New Roman" w:eastAsia="仿宋_GB2312" w:cs="Times New Roman"/>
          <w:sz w:val="32"/>
          <w:szCs w:val="32"/>
          <w:highlight w:val="none"/>
          <w:lang w:val="en-US" w:eastAsia="zh-CN"/>
        </w:rPr>
        <w:t>或者不同均质地域</w:t>
      </w:r>
      <w:r>
        <w:rPr>
          <w:rFonts w:hint="eastAsia" w:ascii="Times New Roman" w:hAnsi="Times New Roman" w:eastAsia="仿宋_GB2312"/>
          <w:sz w:val="32"/>
          <w:szCs w:val="32"/>
          <w:highlight w:val="none"/>
          <w:lang w:eastAsia="zh-CN"/>
        </w:rPr>
        <w:t>的</w:t>
      </w:r>
      <w:r>
        <w:rPr>
          <w:rFonts w:hint="eastAsia" w:ascii="Times New Roman" w:hAnsi="Times New Roman" w:eastAsia="仿宋_GB2312" w:cs="Times New Roman"/>
          <w:sz w:val="32"/>
          <w:szCs w:val="32"/>
          <w:highlight w:val="none"/>
          <w:lang w:eastAsia="zh-CN"/>
        </w:rPr>
        <w:t>农用地</w:t>
      </w:r>
      <w:r>
        <w:rPr>
          <w:rFonts w:hint="eastAsia" w:ascii="Times New Roman" w:hAnsi="Times New Roman" w:eastAsia="仿宋_GB2312"/>
          <w:sz w:val="32"/>
          <w:szCs w:val="32"/>
          <w:highlight w:val="none"/>
          <w:lang w:eastAsia="zh-CN"/>
        </w:rPr>
        <w:t>，以</w:t>
      </w:r>
      <w:r>
        <w:rPr>
          <w:rFonts w:hint="eastAsia" w:ascii="Times New Roman" w:hAnsi="Times New Roman" w:eastAsia="仿宋_GB2312" w:cs="Times New Roman"/>
          <w:sz w:val="32"/>
          <w:szCs w:val="32"/>
          <w:highlight w:val="none"/>
          <w:lang w:val="en-US" w:eastAsia="zh-CN"/>
        </w:rPr>
        <w:t>2023年1月1日</w:t>
      </w:r>
      <w:r>
        <w:rPr>
          <w:rFonts w:hint="eastAsia" w:ascii="Times New Roman" w:hAnsi="Times New Roman" w:eastAsia="仿宋_GB2312"/>
          <w:sz w:val="32"/>
          <w:szCs w:val="32"/>
          <w:highlight w:val="none"/>
          <w:lang w:val="en-US" w:eastAsia="zh-CN"/>
        </w:rPr>
        <w:t>为基准日，按照</w:t>
      </w:r>
      <w:r>
        <w:rPr>
          <w:rFonts w:hint="eastAsia" w:ascii="Times New Roman" w:hAnsi="Times New Roman" w:eastAsia="仿宋_GB2312" w:cs="Times New Roman"/>
          <w:sz w:val="32"/>
          <w:szCs w:val="32"/>
          <w:highlight w:val="none"/>
          <w:lang w:val="en-US" w:eastAsia="zh-CN"/>
        </w:rPr>
        <w:t>旱地、水田、水浇地</w:t>
      </w:r>
      <w:r>
        <w:rPr>
          <w:rFonts w:hint="eastAsia" w:ascii="Times New Roman" w:hAnsi="Times New Roman" w:eastAsia="仿宋_GB2312" w:cs="Times New Roman"/>
          <w:sz w:val="32"/>
          <w:szCs w:val="32"/>
          <w:highlight w:val="none"/>
          <w:lang w:eastAsia="zh-CN"/>
        </w:rPr>
        <w:t>等用途分别评估，由政府公布实施</w:t>
      </w:r>
      <w:r>
        <w:rPr>
          <w:rFonts w:hint="eastAsia" w:ascii="Times New Roman" w:hAnsi="Times New Roman" w:eastAsia="仿宋_GB2312"/>
          <w:sz w:val="32"/>
          <w:szCs w:val="32"/>
          <w:highlight w:val="none"/>
        </w:rPr>
        <w:t>设定年期</w:t>
      </w:r>
      <w:r>
        <w:rPr>
          <w:rFonts w:hint="eastAsia" w:ascii="Times New Roman" w:hAnsi="Times New Roman" w:eastAsia="仿宋_GB2312"/>
          <w:sz w:val="32"/>
          <w:szCs w:val="32"/>
          <w:highlight w:val="none"/>
          <w:lang w:eastAsia="zh-CN"/>
        </w:rPr>
        <w:t>的</w:t>
      </w:r>
      <w:r>
        <w:rPr>
          <w:rFonts w:hint="eastAsia" w:ascii="Times New Roman" w:hAnsi="Times New Roman" w:eastAsia="仿宋_GB2312"/>
          <w:sz w:val="32"/>
          <w:szCs w:val="32"/>
          <w:highlight w:val="none"/>
        </w:rPr>
        <w:t>土地</w:t>
      </w:r>
      <w:r>
        <w:rPr>
          <w:rFonts w:hint="eastAsia" w:ascii="Times New Roman" w:hAnsi="Times New Roman" w:eastAsia="仿宋_GB2312"/>
          <w:sz w:val="32"/>
          <w:szCs w:val="32"/>
          <w:highlight w:val="none"/>
          <w:lang w:eastAsia="zh-CN"/>
        </w:rPr>
        <w:t>使用权</w:t>
      </w:r>
      <w:r>
        <w:rPr>
          <w:rFonts w:hint="eastAsia" w:ascii="Times New Roman" w:hAnsi="Times New Roman" w:eastAsia="仿宋_GB2312"/>
          <w:sz w:val="32"/>
          <w:szCs w:val="32"/>
          <w:highlight w:val="none"/>
        </w:rPr>
        <w:t>的平均价格。</w:t>
      </w:r>
    </w:p>
    <w:p w14:paraId="68E88B20">
      <w:pPr>
        <w:widowControl/>
        <w:spacing w:line="408" w:lineRule="atLeast"/>
        <w:jc w:val="center"/>
        <w:textAlignment w:val="baseline"/>
        <w:rPr>
          <w:rFonts w:ascii="Times New Roman" w:hAnsi="Times New Roman" w:eastAsia="仿宋_GB2312"/>
          <w:b/>
          <w:color w:val="000000"/>
          <w:sz w:val="32"/>
          <w:szCs w:val="32"/>
          <w:highlight w:val="none"/>
        </w:rPr>
      </w:pPr>
      <w:r>
        <w:rPr>
          <w:rFonts w:hint="eastAsia" w:ascii="仿宋_GB2312" w:hAnsi="Times New Roman" w:eastAsia="仿宋_GB2312"/>
          <w:b/>
          <w:sz w:val="32"/>
          <w:szCs w:val="32"/>
          <w:highlight w:val="none"/>
        </w:rPr>
        <w:t>牡丹江市区</w:t>
      </w:r>
      <w:r>
        <w:rPr>
          <w:rFonts w:hint="eastAsia" w:ascii="仿宋_GB2312" w:hAnsi="Times New Roman" w:eastAsia="仿宋_GB2312"/>
          <w:b/>
          <w:sz w:val="32"/>
          <w:szCs w:val="32"/>
          <w:highlight w:val="none"/>
          <w:lang w:val="en-US" w:eastAsia="zh-CN"/>
        </w:rPr>
        <w:t>农用地</w:t>
      </w:r>
      <w:r>
        <w:rPr>
          <w:rFonts w:ascii="Times New Roman" w:hAnsi="Times New Roman" w:eastAsia="仿宋_GB2312"/>
          <w:b/>
          <w:color w:val="000000"/>
          <w:sz w:val="32"/>
          <w:szCs w:val="32"/>
          <w:highlight w:val="none"/>
        </w:rPr>
        <w:t>基准地价内涵表</w:t>
      </w:r>
    </w:p>
    <w:tbl>
      <w:tblPr>
        <w:tblStyle w:val="14"/>
        <w:tblW w:w="50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45"/>
        <w:gridCol w:w="2204"/>
        <w:gridCol w:w="1287"/>
        <w:gridCol w:w="900"/>
        <w:gridCol w:w="1776"/>
        <w:gridCol w:w="1351"/>
      </w:tblGrid>
      <w:tr w14:paraId="3A584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115C74">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农用地类型</w:t>
            </w: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61AFD438">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价格类型</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3CC5BFE5">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土地     使用年期</w:t>
            </w:r>
          </w:p>
        </w:tc>
        <w:tc>
          <w:tcPr>
            <w:tcW w:w="519" w:type="pct"/>
            <w:tcBorders>
              <w:top w:val="single" w:color="000000" w:sz="4" w:space="0"/>
              <w:left w:val="single" w:color="000000" w:sz="4" w:space="0"/>
              <w:bottom w:val="single" w:color="000000" w:sz="4" w:space="0"/>
              <w:right w:val="single" w:color="000000" w:sz="4" w:space="0"/>
            </w:tcBorders>
            <w:noWrap w:val="0"/>
            <w:vAlign w:val="center"/>
          </w:tcPr>
          <w:p w14:paraId="75D5BC05">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耕作制度</w:t>
            </w:r>
          </w:p>
        </w:tc>
        <w:tc>
          <w:tcPr>
            <w:tcW w:w="1024" w:type="pct"/>
            <w:tcBorders>
              <w:top w:val="single" w:color="000000" w:sz="4" w:space="0"/>
              <w:left w:val="single" w:color="000000" w:sz="4" w:space="0"/>
              <w:bottom w:val="single" w:color="000000" w:sz="4" w:space="0"/>
              <w:right w:val="single" w:color="000000" w:sz="4" w:space="0"/>
            </w:tcBorders>
            <w:noWrap w:val="0"/>
            <w:vAlign w:val="center"/>
          </w:tcPr>
          <w:p w14:paraId="70F1249A">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基本设施状况</w:t>
            </w:r>
          </w:p>
        </w:tc>
        <w:tc>
          <w:tcPr>
            <w:tcW w:w="779" w:type="pct"/>
            <w:tcBorders>
              <w:top w:val="single" w:color="000000" w:sz="4" w:space="0"/>
              <w:left w:val="single" w:color="000000" w:sz="4" w:space="0"/>
              <w:bottom w:val="single" w:color="000000" w:sz="4" w:space="0"/>
              <w:right w:val="single" w:color="000000" w:sz="4" w:space="0"/>
            </w:tcBorders>
            <w:noWrap/>
            <w:vAlign w:val="center"/>
          </w:tcPr>
          <w:p w14:paraId="199A4CC1">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估价期日</w:t>
            </w:r>
          </w:p>
        </w:tc>
      </w:tr>
      <w:tr w14:paraId="2024C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restart"/>
            <w:tcBorders>
              <w:top w:val="single" w:color="000000" w:sz="4" w:space="0"/>
              <w:left w:val="single" w:color="000000" w:sz="4" w:space="0"/>
              <w:bottom w:val="single" w:color="000000" w:sz="4" w:space="0"/>
              <w:right w:val="single" w:color="000000" w:sz="4" w:space="0"/>
            </w:tcBorders>
            <w:noWrap w:val="0"/>
            <w:vAlign w:val="center"/>
          </w:tcPr>
          <w:p w14:paraId="176F77A8">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旱地</w:t>
            </w: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6469F007">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国有农用地使用权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62DDFEA5">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50年</w:t>
            </w:r>
          </w:p>
        </w:tc>
        <w:tc>
          <w:tcPr>
            <w:tcW w:w="519" w:type="pct"/>
            <w:vMerge w:val="restart"/>
            <w:tcBorders>
              <w:top w:val="single" w:color="000000" w:sz="4" w:space="0"/>
              <w:left w:val="single" w:color="000000" w:sz="4" w:space="0"/>
              <w:bottom w:val="single" w:color="000000" w:sz="4" w:space="0"/>
              <w:right w:val="single" w:color="000000" w:sz="4" w:space="0"/>
            </w:tcBorders>
            <w:noWrap w:val="0"/>
            <w:vAlign w:val="center"/>
          </w:tcPr>
          <w:p w14:paraId="54058901">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一年一熟</w:t>
            </w:r>
          </w:p>
        </w:tc>
        <w:tc>
          <w:tcPr>
            <w:tcW w:w="1024" w:type="pct"/>
            <w:vMerge w:val="restart"/>
            <w:tcBorders>
              <w:top w:val="single" w:color="000000" w:sz="4" w:space="0"/>
              <w:left w:val="single" w:color="000000" w:sz="4" w:space="0"/>
              <w:bottom w:val="single" w:color="000000" w:sz="4" w:space="0"/>
              <w:right w:val="single" w:color="000000" w:sz="4" w:space="0"/>
            </w:tcBorders>
            <w:noWrap w:val="0"/>
            <w:vAlign w:val="center"/>
          </w:tcPr>
          <w:p w14:paraId="2B0732A4">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通路、排水、通电、场地平整</w:t>
            </w:r>
          </w:p>
        </w:tc>
        <w:tc>
          <w:tcPr>
            <w:tcW w:w="779" w:type="pct"/>
            <w:vMerge w:val="restart"/>
            <w:tcBorders>
              <w:top w:val="single" w:color="000000" w:sz="4" w:space="0"/>
              <w:left w:val="single" w:color="000000" w:sz="4" w:space="0"/>
              <w:bottom w:val="single" w:color="000000" w:sz="4" w:space="0"/>
              <w:right w:val="single" w:color="000000" w:sz="4" w:space="0"/>
            </w:tcBorders>
            <w:noWrap w:val="0"/>
            <w:vAlign w:val="center"/>
          </w:tcPr>
          <w:p w14:paraId="706140CC">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2023年1月1日</w:t>
            </w:r>
          </w:p>
        </w:tc>
      </w:tr>
      <w:tr w14:paraId="3CBDC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F123B2">
            <w:pPr>
              <w:jc w:val="center"/>
              <w:rPr>
                <w:rFonts w:hint="eastAsia" w:ascii="仿宋_GB2312" w:hAnsi="Times New Roman" w:eastAsia="仿宋_GB2312" w:cs="Times New Roman"/>
                <w:sz w:val="24"/>
                <w:szCs w:val="24"/>
                <w:highlight w:val="none"/>
                <w:lang w:val="en-US" w:eastAsia="zh-CN"/>
              </w:rPr>
            </w:pP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0BE7C353">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集体农用地承包经营权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57D977F6">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30年</w:t>
            </w:r>
          </w:p>
        </w:tc>
        <w:tc>
          <w:tcPr>
            <w:tcW w:w="51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37F91F2">
            <w:pPr>
              <w:jc w:val="center"/>
              <w:rPr>
                <w:rFonts w:hint="eastAsia" w:ascii="仿宋_GB2312" w:hAnsi="Times New Roman" w:eastAsia="仿宋_GB2312" w:cs="Times New Roman"/>
                <w:sz w:val="24"/>
                <w:szCs w:val="24"/>
                <w:highlight w:val="none"/>
                <w:lang w:val="en-US" w:eastAsia="zh-CN"/>
              </w:rPr>
            </w:pPr>
          </w:p>
        </w:tc>
        <w:tc>
          <w:tcPr>
            <w:tcW w:w="10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1F8AFD">
            <w:pPr>
              <w:jc w:val="center"/>
              <w:rPr>
                <w:rFonts w:hint="eastAsia" w:ascii="仿宋_GB2312" w:hAnsi="Times New Roman" w:eastAsia="仿宋_GB2312" w:cs="Times New Roman"/>
                <w:sz w:val="24"/>
                <w:szCs w:val="24"/>
                <w:highlight w:val="none"/>
                <w:lang w:val="en-US" w:eastAsia="zh-CN"/>
              </w:rPr>
            </w:pPr>
          </w:p>
        </w:tc>
        <w:tc>
          <w:tcPr>
            <w:tcW w:w="7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524EB3">
            <w:pPr>
              <w:jc w:val="center"/>
              <w:rPr>
                <w:rFonts w:hint="eastAsia" w:ascii="仿宋_GB2312" w:hAnsi="仿宋_GB2312" w:eastAsia="仿宋_GB2312" w:cs="仿宋_GB2312"/>
                <w:i w:val="0"/>
                <w:iCs w:val="0"/>
                <w:color w:val="000000"/>
                <w:sz w:val="28"/>
                <w:szCs w:val="28"/>
                <w:highlight w:val="none"/>
                <w:u w:val="none"/>
              </w:rPr>
            </w:pPr>
          </w:p>
        </w:tc>
      </w:tr>
      <w:tr w14:paraId="0C27B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25E8B0">
            <w:pPr>
              <w:jc w:val="center"/>
              <w:rPr>
                <w:rFonts w:hint="eastAsia" w:ascii="仿宋_GB2312" w:hAnsi="Times New Roman" w:eastAsia="仿宋_GB2312" w:cs="Times New Roman"/>
                <w:sz w:val="24"/>
                <w:szCs w:val="24"/>
                <w:highlight w:val="none"/>
                <w:lang w:val="en-US" w:eastAsia="zh-CN"/>
              </w:rPr>
            </w:pP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31E185EE">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集体农用地经营权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166649BC">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1年</w:t>
            </w:r>
          </w:p>
        </w:tc>
        <w:tc>
          <w:tcPr>
            <w:tcW w:w="51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50F188">
            <w:pPr>
              <w:jc w:val="center"/>
              <w:rPr>
                <w:rFonts w:hint="eastAsia" w:ascii="仿宋_GB2312" w:hAnsi="Times New Roman" w:eastAsia="仿宋_GB2312" w:cs="Times New Roman"/>
                <w:sz w:val="24"/>
                <w:szCs w:val="24"/>
                <w:highlight w:val="none"/>
                <w:lang w:val="en-US" w:eastAsia="zh-CN"/>
              </w:rPr>
            </w:pPr>
          </w:p>
        </w:tc>
        <w:tc>
          <w:tcPr>
            <w:tcW w:w="10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2570B5">
            <w:pPr>
              <w:jc w:val="center"/>
              <w:rPr>
                <w:rFonts w:hint="eastAsia" w:ascii="仿宋_GB2312" w:hAnsi="Times New Roman" w:eastAsia="仿宋_GB2312" w:cs="Times New Roman"/>
                <w:sz w:val="24"/>
                <w:szCs w:val="24"/>
                <w:highlight w:val="none"/>
                <w:lang w:val="en-US" w:eastAsia="zh-CN"/>
              </w:rPr>
            </w:pPr>
          </w:p>
        </w:tc>
        <w:tc>
          <w:tcPr>
            <w:tcW w:w="7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22CD1F">
            <w:pPr>
              <w:jc w:val="center"/>
              <w:rPr>
                <w:rFonts w:hint="eastAsia" w:ascii="仿宋_GB2312" w:hAnsi="仿宋_GB2312" w:eastAsia="仿宋_GB2312" w:cs="仿宋_GB2312"/>
                <w:i w:val="0"/>
                <w:iCs w:val="0"/>
                <w:color w:val="000000"/>
                <w:sz w:val="28"/>
                <w:szCs w:val="28"/>
                <w:highlight w:val="none"/>
                <w:u w:val="none"/>
              </w:rPr>
            </w:pPr>
          </w:p>
        </w:tc>
      </w:tr>
      <w:tr w14:paraId="576B9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restart"/>
            <w:tcBorders>
              <w:top w:val="single" w:color="000000" w:sz="4" w:space="0"/>
              <w:left w:val="single" w:color="000000" w:sz="4" w:space="0"/>
              <w:bottom w:val="single" w:color="000000" w:sz="4" w:space="0"/>
              <w:right w:val="single" w:color="000000" w:sz="4" w:space="0"/>
            </w:tcBorders>
            <w:noWrap w:val="0"/>
            <w:vAlign w:val="center"/>
          </w:tcPr>
          <w:p w14:paraId="46139F34">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水田</w:t>
            </w: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0C723FA0">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国有农用地使用权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74FB69D6">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50年</w:t>
            </w:r>
          </w:p>
        </w:tc>
        <w:tc>
          <w:tcPr>
            <w:tcW w:w="51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06C20F">
            <w:pPr>
              <w:jc w:val="center"/>
              <w:rPr>
                <w:rFonts w:hint="eastAsia" w:ascii="仿宋_GB2312" w:hAnsi="Times New Roman" w:eastAsia="仿宋_GB2312" w:cs="Times New Roman"/>
                <w:sz w:val="24"/>
                <w:szCs w:val="24"/>
                <w:highlight w:val="none"/>
                <w:lang w:val="en-US" w:eastAsia="zh-CN"/>
              </w:rPr>
            </w:pPr>
          </w:p>
        </w:tc>
        <w:tc>
          <w:tcPr>
            <w:tcW w:w="1024" w:type="pct"/>
            <w:vMerge w:val="restart"/>
            <w:tcBorders>
              <w:top w:val="single" w:color="000000" w:sz="4" w:space="0"/>
              <w:left w:val="single" w:color="000000" w:sz="4" w:space="0"/>
              <w:bottom w:val="single" w:color="000000" w:sz="4" w:space="0"/>
              <w:right w:val="single" w:color="000000" w:sz="4" w:space="0"/>
            </w:tcBorders>
            <w:noWrap w:val="0"/>
            <w:vAlign w:val="center"/>
          </w:tcPr>
          <w:p w14:paraId="00D286CB">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通路、灌溉、排水、通电、场地平整</w:t>
            </w:r>
          </w:p>
        </w:tc>
        <w:tc>
          <w:tcPr>
            <w:tcW w:w="7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9BD46E">
            <w:pPr>
              <w:jc w:val="center"/>
              <w:rPr>
                <w:rFonts w:hint="eastAsia" w:ascii="仿宋_GB2312" w:hAnsi="仿宋_GB2312" w:eastAsia="仿宋_GB2312" w:cs="仿宋_GB2312"/>
                <w:i w:val="0"/>
                <w:iCs w:val="0"/>
                <w:color w:val="000000"/>
                <w:sz w:val="28"/>
                <w:szCs w:val="28"/>
                <w:highlight w:val="none"/>
                <w:u w:val="none"/>
              </w:rPr>
            </w:pPr>
          </w:p>
        </w:tc>
      </w:tr>
      <w:tr w14:paraId="16B89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continue"/>
            <w:tcBorders>
              <w:top w:val="single" w:color="000000" w:sz="4" w:space="0"/>
              <w:left w:val="single" w:color="000000" w:sz="4" w:space="0"/>
              <w:bottom w:val="single" w:color="000000" w:sz="4" w:space="0"/>
              <w:right w:val="single" w:color="000000" w:sz="4" w:space="0"/>
            </w:tcBorders>
            <w:noWrap w:val="0"/>
            <w:vAlign w:val="center"/>
          </w:tcPr>
          <w:p w14:paraId="0648ADFA">
            <w:pPr>
              <w:jc w:val="center"/>
              <w:rPr>
                <w:rFonts w:hint="eastAsia" w:ascii="仿宋_GB2312" w:hAnsi="Times New Roman" w:eastAsia="仿宋_GB2312" w:cs="Times New Roman"/>
                <w:sz w:val="24"/>
                <w:szCs w:val="24"/>
                <w:highlight w:val="none"/>
                <w:lang w:val="en-US" w:eastAsia="zh-CN"/>
              </w:rPr>
            </w:pP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72CA03F8">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集体农用地承包经营权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09BF1B34">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30年</w:t>
            </w:r>
          </w:p>
        </w:tc>
        <w:tc>
          <w:tcPr>
            <w:tcW w:w="51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C84ED3">
            <w:pPr>
              <w:jc w:val="center"/>
              <w:rPr>
                <w:rFonts w:hint="eastAsia" w:ascii="仿宋_GB2312" w:hAnsi="Times New Roman" w:eastAsia="仿宋_GB2312" w:cs="Times New Roman"/>
                <w:sz w:val="24"/>
                <w:szCs w:val="24"/>
                <w:highlight w:val="none"/>
                <w:lang w:val="en-US" w:eastAsia="zh-CN"/>
              </w:rPr>
            </w:pPr>
          </w:p>
        </w:tc>
        <w:tc>
          <w:tcPr>
            <w:tcW w:w="10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B38893">
            <w:pPr>
              <w:jc w:val="center"/>
              <w:rPr>
                <w:rFonts w:hint="eastAsia" w:ascii="仿宋_GB2312" w:hAnsi="Times New Roman" w:eastAsia="仿宋_GB2312" w:cs="Times New Roman"/>
                <w:sz w:val="24"/>
                <w:szCs w:val="24"/>
                <w:highlight w:val="none"/>
                <w:lang w:val="en-US" w:eastAsia="zh-CN"/>
              </w:rPr>
            </w:pPr>
          </w:p>
        </w:tc>
        <w:tc>
          <w:tcPr>
            <w:tcW w:w="7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F58494">
            <w:pPr>
              <w:jc w:val="center"/>
              <w:rPr>
                <w:rFonts w:hint="eastAsia" w:ascii="仿宋_GB2312" w:hAnsi="仿宋_GB2312" w:eastAsia="仿宋_GB2312" w:cs="仿宋_GB2312"/>
                <w:i w:val="0"/>
                <w:iCs w:val="0"/>
                <w:color w:val="000000"/>
                <w:sz w:val="28"/>
                <w:szCs w:val="28"/>
                <w:highlight w:val="none"/>
                <w:u w:val="none"/>
              </w:rPr>
            </w:pPr>
          </w:p>
        </w:tc>
      </w:tr>
      <w:tr w14:paraId="65742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925712">
            <w:pPr>
              <w:jc w:val="center"/>
              <w:rPr>
                <w:rFonts w:hint="eastAsia" w:ascii="仿宋_GB2312" w:hAnsi="Times New Roman" w:eastAsia="仿宋_GB2312" w:cs="Times New Roman"/>
                <w:sz w:val="24"/>
                <w:szCs w:val="24"/>
                <w:highlight w:val="none"/>
                <w:lang w:val="en-US" w:eastAsia="zh-CN"/>
              </w:rPr>
            </w:pP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166F51C7">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集体农用地经营权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4B30AE11">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1年</w:t>
            </w:r>
          </w:p>
        </w:tc>
        <w:tc>
          <w:tcPr>
            <w:tcW w:w="51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B903DA">
            <w:pPr>
              <w:jc w:val="center"/>
              <w:rPr>
                <w:rFonts w:hint="eastAsia" w:ascii="仿宋_GB2312" w:hAnsi="Times New Roman" w:eastAsia="仿宋_GB2312" w:cs="Times New Roman"/>
                <w:sz w:val="24"/>
                <w:szCs w:val="24"/>
                <w:highlight w:val="none"/>
                <w:lang w:val="en-US" w:eastAsia="zh-CN"/>
              </w:rPr>
            </w:pPr>
          </w:p>
        </w:tc>
        <w:tc>
          <w:tcPr>
            <w:tcW w:w="10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A35AD9">
            <w:pPr>
              <w:jc w:val="center"/>
              <w:rPr>
                <w:rFonts w:hint="eastAsia" w:ascii="仿宋_GB2312" w:hAnsi="Times New Roman" w:eastAsia="仿宋_GB2312" w:cs="Times New Roman"/>
                <w:sz w:val="24"/>
                <w:szCs w:val="24"/>
                <w:highlight w:val="none"/>
                <w:lang w:val="en-US" w:eastAsia="zh-CN"/>
              </w:rPr>
            </w:pPr>
          </w:p>
        </w:tc>
        <w:tc>
          <w:tcPr>
            <w:tcW w:w="7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4062FD">
            <w:pPr>
              <w:jc w:val="center"/>
              <w:rPr>
                <w:rFonts w:hint="eastAsia" w:ascii="仿宋_GB2312" w:hAnsi="仿宋_GB2312" w:eastAsia="仿宋_GB2312" w:cs="仿宋_GB2312"/>
                <w:i w:val="0"/>
                <w:iCs w:val="0"/>
                <w:color w:val="000000"/>
                <w:sz w:val="28"/>
                <w:szCs w:val="28"/>
                <w:highlight w:val="none"/>
                <w:u w:val="none"/>
              </w:rPr>
            </w:pPr>
          </w:p>
        </w:tc>
      </w:tr>
      <w:tr w14:paraId="58EF3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restart"/>
            <w:tcBorders>
              <w:top w:val="single" w:color="000000" w:sz="4" w:space="0"/>
              <w:left w:val="single" w:color="000000" w:sz="4" w:space="0"/>
              <w:bottom w:val="single" w:color="000000" w:sz="4" w:space="0"/>
              <w:right w:val="single" w:color="000000" w:sz="4" w:space="0"/>
            </w:tcBorders>
            <w:noWrap w:val="0"/>
            <w:vAlign w:val="center"/>
          </w:tcPr>
          <w:p w14:paraId="79162ED6">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水浇地</w:t>
            </w: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3E4CC018">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国有农用地使用权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1A1DC5AA">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50年</w:t>
            </w:r>
          </w:p>
        </w:tc>
        <w:tc>
          <w:tcPr>
            <w:tcW w:w="51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E9A817">
            <w:pPr>
              <w:jc w:val="center"/>
              <w:rPr>
                <w:rFonts w:hint="eastAsia" w:ascii="仿宋_GB2312" w:hAnsi="Times New Roman" w:eastAsia="仿宋_GB2312" w:cs="Times New Roman"/>
                <w:sz w:val="24"/>
                <w:szCs w:val="24"/>
                <w:highlight w:val="none"/>
                <w:lang w:val="en-US" w:eastAsia="zh-CN"/>
              </w:rPr>
            </w:pPr>
          </w:p>
        </w:tc>
        <w:tc>
          <w:tcPr>
            <w:tcW w:w="1024" w:type="pct"/>
            <w:vMerge w:val="restart"/>
            <w:tcBorders>
              <w:top w:val="single" w:color="000000" w:sz="4" w:space="0"/>
              <w:left w:val="single" w:color="000000" w:sz="4" w:space="0"/>
              <w:bottom w:val="single" w:color="000000" w:sz="4" w:space="0"/>
              <w:right w:val="single" w:color="000000" w:sz="4" w:space="0"/>
            </w:tcBorders>
            <w:noWrap w:val="0"/>
            <w:vAlign w:val="center"/>
          </w:tcPr>
          <w:p w14:paraId="4D102E86">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通路、灌溉、排水、通电、场地平整</w:t>
            </w:r>
          </w:p>
        </w:tc>
        <w:tc>
          <w:tcPr>
            <w:tcW w:w="7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37864E">
            <w:pPr>
              <w:jc w:val="center"/>
              <w:rPr>
                <w:rFonts w:hint="eastAsia" w:ascii="仿宋_GB2312" w:hAnsi="仿宋_GB2312" w:eastAsia="仿宋_GB2312" w:cs="仿宋_GB2312"/>
                <w:i w:val="0"/>
                <w:iCs w:val="0"/>
                <w:color w:val="000000"/>
                <w:sz w:val="28"/>
                <w:szCs w:val="28"/>
                <w:highlight w:val="none"/>
                <w:u w:val="none"/>
              </w:rPr>
            </w:pPr>
          </w:p>
        </w:tc>
      </w:tr>
      <w:tr w14:paraId="3D686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BB96CD">
            <w:pPr>
              <w:jc w:val="center"/>
              <w:rPr>
                <w:rFonts w:hint="eastAsia" w:ascii="仿宋_GB2312" w:hAnsi="Times New Roman" w:eastAsia="仿宋_GB2312" w:cs="Times New Roman"/>
                <w:sz w:val="24"/>
                <w:szCs w:val="24"/>
                <w:highlight w:val="none"/>
                <w:lang w:val="en-US" w:eastAsia="zh-CN"/>
              </w:rPr>
            </w:pP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3BEE601A">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集体农用地承包经营权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46CE45AC">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30年</w:t>
            </w:r>
          </w:p>
        </w:tc>
        <w:tc>
          <w:tcPr>
            <w:tcW w:w="51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167049">
            <w:pPr>
              <w:jc w:val="center"/>
              <w:rPr>
                <w:rFonts w:hint="eastAsia" w:ascii="仿宋_GB2312" w:hAnsi="仿宋_GB2312" w:eastAsia="仿宋_GB2312" w:cs="仿宋_GB2312"/>
                <w:i w:val="0"/>
                <w:iCs w:val="0"/>
                <w:color w:val="000000"/>
                <w:sz w:val="28"/>
                <w:szCs w:val="28"/>
                <w:highlight w:val="none"/>
                <w:u w:val="none"/>
              </w:rPr>
            </w:pPr>
          </w:p>
        </w:tc>
        <w:tc>
          <w:tcPr>
            <w:tcW w:w="10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6ED45F">
            <w:pPr>
              <w:jc w:val="center"/>
              <w:rPr>
                <w:rFonts w:hint="eastAsia" w:ascii="仿宋_GB2312" w:hAnsi="仿宋_GB2312" w:eastAsia="仿宋_GB2312" w:cs="仿宋_GB2312"/>
                <w:i w:val="0"/>
                <w:iCs w:val="0"/>
                <w:color w:val="000000"/>
                <w:sz w:val="28"/>
                <w:szCs w:val="28"/>
                <w:highlight w:val="none"/>
                <w:u w:val="none"/>
              </w:rPr>
            </w:pPr>
          </w:p>
        </w:tc>
        <w:tc>
          <w:tcPr>
            <w:tcW w:w="7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2CFEC6">
            <w:pPr>
              <w:jc w:val="center"/>
              <w:rPr>
                <w:rFonts w:hint="eastAsia" w:ascii="仿宋_GB2312" w:hAnsi="仿宋_GB2312" w:eastAsia="仿宋_GB2312" w:cs="仿宋_GB2312"/>
                <w:i w:val="0"/>
                <w:iCs w:val="0"/>
                <w:color w:val="000000"/>
                <w:sz w:val="28"/>
                <w:szCs w:val="28"/>
                <w:highlight w:val="none"/>
                <w:u w:val="none"/>
              </w:rPr>
            </w:pPr>
          </w:p>
        </w:tc>
      </w:tr>
      <w:tr w14:paraId="4D47D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61"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D19FB6">
            <w:pPr>
              <w:jc w:val="center"/>
              <w:rPr>
                <w:rFonts w:hint="eastAsia" w:ascii="仿宋_GB2312" w:hAnsi="Times New Roman" w:eastAsia="仿宋_GB2312" w:cs="Times New Roman"/>
                <w:sz w:val="24"/>
                <w:szCs w:val="24"/>
                <w:highlight w:val="none"/>
                <w:lang w:val="en-US" w:eastAsia="zh-CN"/>
              </w:rPr>
            </w:pPr>
          </w:p>
        </w:tc>
        <w:tc>
          <w:tcPr>
            <w:tcW w:w="1271" w:type="pct"/>
            <w:tcBorders>
              <w:top w:val="single" w:color="000000" w:sz="4" w:space="0"/>
              <w:left w:val="single" w:color="000000" w:sz="4" w:space="0"/>
              <w:bottom w:val="single" w:color="000000" w:sz="4" w:space="0"/>
              <w:right w:val="single" w:color="000000" w:sz="4" w:space="0"/>
            </w:tcBorders>
            <w:noWrap w:val="0"/>
            <w:vAlign w:val="center"/>
          </w:tcPr>
          <w:p w14:paraId="4605B4E0">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集体农用地经营权</w:t>
            </w:r>
          </w:p>
        </w:tc>
        <w:tc>
          <w:tcPr>
            <w:tcW w:w="742" w:type="pct"/>
            <w:tcBorders>
              <w:top w:val="single" w:color="000000" w:sz="4" w:space="0"/>
              <w:left w:val="single" w:color="000000" w:sz="4" w:space="0"/>
              <w:bottom w:val="single" w:color="000000" w:sz="4" w:space="0"/>
              <w:right w:val="single" w:color="000000" w:sz="4" w:space="0"/>
            </w:tcBorders>
            <w:noWrap w:val="0"/>
            <w:vAlign w:val="center"/>
          </w:tcPr>
          <w:p w14:paraId="68E69BAA">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1年</w:t>
            </w:r>
          </w:p>
        </w:tc>
        <w:tc>
          <w:tcPr>
            <w:tcW w:w="51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67AF18E">
            <w:pPr>
              <w:jc w:val="center"/>
              <w:rPr>
                <w:rFonts w:hint="eastAsia" w:ascii="仿宋_GB2312" w:hAnsi="仿宋_GB2312" w:eastAsia="仿宋_GB2312" w:cs="仿宋_GB2312"/>
                <w:i w:val="0"/>
                <w:iCs w:val="0"/>
                <w:color w:val="000000"/>
                <w:sz w:val="28"/>
                <w:szCs w:val="28"/>
                <w:highlight w:val="none"/>
                <w:u w:val="none"/>
              </w:rPr>
            </w:pPr>
          </w:p>
        </w:tc>
        <w:tc>
          <w:tcPr>
            <w:tcW w:w="10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82A8EC">
            <w:pPr>
              <w:jc w:val="center"/>
              <w:rPr>
                <w:rFonts w:hint="eastAsia" w:ascii="仿宋_GB2312" w:hAnsi="仿宋_GB2312" w:eastAsia="仿宋_GB2312" w:cs="仿宋_GB2312"/>
                <w:i w:val="0"/>
                <w:iCs w:val="0"/>
                <w:color w:val="000000"/>
                <w:sz w:val="28"/>
                <w:szCs w:val="28"/>
                <w:highlight w:val="none"/>
                <w:u w:val="none"/>
              </w:rPr>
            </w:pPr>
          </w:p>
        </w:tc>
        <w:tc>
          <w:tcPr>
            <w:tcW w:w="7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13117A0">
            <w:pPr>
              <w:jc w:val="center"/>
              <w:rPr>
                <w:rFonts w:hint="eastAsia" w:ascii="仿宋_GB2312" w:hAnsi="仿宋_GB2312" w:eastAsia="仿宋_GB2312" w:cs="仿宋_GB2312"/>
                <w:i w:val="0"/>
                <w:iCs w:val="0"/>
                <w:color w:val="000000"/>
                <w:sz w:val="28"/>
                <w:szCs w:val="28"/>
                <w:highlight w:val="none"/>
                <w:u w:val="none"/>
              </w:rPr>
            </w:pPr>
          </w:p>
        </w:tc>
      </w:tr>
    </w:tbl>
    <w:p w14:paraId="65BAADB5">
      <w:pPr>
        <w:ind w:left="0" w:leftChars="0" w:firstLine="0" w:firstLineChars="0"/>
        <w:rPr>
          <w:rFonts w:hint="eastAsia" w:ascii="Times New Roman" w:hAnsi="Times New Roman" w:eastAsia="仿宋_GB2312"/>
          <w:b/>
          <w:bCs/>
          <w:sz w:val="32"/>
          <w:szCs w:val="32"/>
          <w:highlight w:val="none"/>
          <w:lang w:eastAsia="zh-CN"/>
        </w:rPr>
      </w:pPr>
    </w:p>
    <w:p w14:paraId="58D20D52">
      <w:pPr>
        <w:ind w:left="0" w:leftChars="0" w:firstLine="0" w:firstLineChars="0"/>
        <w:rPr>
          <w:rFonts w:hint="eastAsia" w:ascii="Times New Roman" w:hAnsi="Times New Roman" w:eastAsia="仿宋_GB2312"/>
          <w:sz w:val="32"/>
          <w:szCs w:val="32"/>
          <w:highlight w:val="none"/>
          <w:lang w:val="en-US" w:eastAsia="zh-CN"/>
        </w:rPr>
      </w:pPr>
      <w:r>
        <w:rPr>
          <w:rFonts w:hint="eastAsia" w:ascii="Times New Roman" w:hAnsi="Times New Roman" w:eastAsia="仿宋_GB2312"/>
          <w:b/>
          <w:bCs/>
          <w:sz w:val="32"/>
          <w:szCs w:val="32"/>
          <w:highlight w:val="none"/>
          <w:lang w:eastAsia="zh-CN"/>
        </w:rPr>
        <w:t>附件</w:t>
      </w:r>
      <w:r>
        <w:rPr>
          <w:rFonts w:hint="eastAsia" w:ascii="Times New Roman" w:hAnsi="Times New Roman" w:eastAsia="仿宋_GB2312"/>
          <w:b/>
          <w:bCs/>
          <w:sz w:val="32"/>
          <w:szCs w:val="32"/>
          <w:highlight w:val="none"/>
          <w:lang w:val="en-US" w:eastAsia="zh-CN"/>
        </w:rPr>
        <w:t>2</w:t>
      </w:r>
    </w:p>
    <w:p w14:paraId="43DFF9D8">
      <w:pPr>
        <w:ind w:firstLine="705" w:firstLineChars="195"/>
        <w:jc w:val="center"/>
        <w:rPr>
          <w:rFonts w:hint="eastAsia" w:ascii="仿宋_GB2312" w:hAnsi="Times New Roman" w:eastAsia="仿宋_GB2312"/>
          <w:b/>
          <w:sz w:val="36"/>
          <w:szCs w:val="36"/>
          <w:highlight w:val="none"/>
        </w:rPr>
      </w:pPr>
      <w:r>
        <w:rPr>
          <w:rFonts w:hint="eastAsia" w:ascii="仿宋_GB2312" w:hAnsi="Times New Roman" w:eastAsia="仿宋_GB2312"/>
          <w:b/>
          <w:sz w:val="36"/>
          <w:szCs w:val="36"/>
          <w:highlight w:val="none"/>
        </w:rPr>
        <w:t>牡丹江市区</w:t>
      </w:r>
      <w:r>
        <w:rPr>
          <w:rFonts w:hint="eastAsia" w:ascii="仿宋_GB2312" w:hAnsi="Times New Roman" w:eastAsia="仿宋_GB2312"/>
          <w:b/>
          <w:sz w:val="36"/>
          <w:szCs w:val="36"/>
          <w:highlight w:val="none"/>
          <w:lang w:val="en-US" w:eastAsia="zh-CN"/>
        </w:rPr>
        <w:t>农用地</w:t>
      </w:r>
      <w:r>
        <w:rPr>
          <w:rFonts w:hint="eastAsia" w:ascii="仿宋_GB2312" w:hAnsi="Times New Roman" w:eastAsia="仿宋_GB2312"/>
          <w:b/>
          <w:sz w:val="36"/>
          <w:szCs w:val="36"/>
          <w:highlight w:val="none"/>
        </w:rPr>
        <w:t>土地级别表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050"/>
        <w:gridCol w:w="1896"/>
        <w:gridCol w:w="1538"/>
        <w:gridCol w:w="2087"/>
        <w:gridCol w:w="1229"/>
      </w:tblGrid>
      <w:tr w14:paraId="27C0D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restart"/>
            <w:noWrap/>
            <w:vAlign w:val="center"/>
          </w:tcPr>
          <w:p w14:paraId="46093C53">
            <w:pPr>
              <w:jc w:val="center"/>
              <w:rPr>
                <w:rFonts w:ascii="Times New Roman" w:hAnsi="Times New Roman" w:eastAsia="仿宋_GB2312"/>
                <w:b/>
                <w:color w:val="000000"/>
                <w:sz w:val="24"/>
                <w:szCs w:val="24"/>
                <w:highlight w:val="none"/>
              </w:rPr>
            </w:pPr>
            <w:r>
              <w:rPr>
                <w:rFonts w:ascii="Times New Roman" w:hAnsi="Times New Roman" w:eastAsia="仿宋_GB2312"/>
                <w:b/>
                <w:color w:val="000000"/>
                <w:sz w:val="24"/>
                <w:szCs w:val="24"/>
                <w:highlight w:val="none"/>
              </w:rPr>
              <w:t>序号</w:t>
            </w:r>
          </w:p>
        </w:tc>
        <w:tc>
          <w:tcPr>
            <w:tcW w:w="616" w:type="pct"/>
            <w:vMerge w:val="restart"/>
            <w:noWrap/>
            <w:vAlign w:val="center"/>
          </w:tcPr>
          <w:p w14:paraId="56CF6C40">
            <w:pPr>
              <w:jc w:val="center"/>
              <w:rPr>
                <w:rFonts w:hint="eastAsia" w:ascii="Times New Roman" w:hAnsi="Times New Roman" w:eastAsia="仿宋_GB2312"/>
                <w:b/>
                <w:color w:val="000000"/>
                <w:sz w:val="24"/>
                <w:szCs w:val="24"/>
                <w:highlight w:val="none"/>
              </w:rPr>
            </w:pPr>
            <w:r>
              <w:rPr>
                <w:rFonts w:hint="eastAsia" w:ascii="Times New Roman" w:hAnsi="Times New Roman" w:eastAsia="仿宋_GB2312"/>
                <w:b/>
                <w:color w:val="000000"/>
                <w:sz w:val="24"/>
                <w:szCs w:val="24"/>
                <w:highlight w:val="none"/>
              </w:rPr>
              <w:t>区</w:t>
            </w:r>
          </w:p>
        </w:tc>
        <w:tc>
          <w:tcPr>
            <w:tcW w:w="1112" w:type="pct"/>
            <w:vMerge w:val="restart"/>
            <w:noWrap/>
            <w:vAlign w:val="center"/>
          </w:tcPr>
          <w:p w14:paraId="61FAD58F">
            <w:pPr>
              <w:widowControl/>
              <w:jc w:val="center"/>
              <w:textAlignment w:val="center"/>
              <w:rPr>
                <w:rFonts w:hint="eastAsia" w:ascii="Times New Roman" w:hAnsi="Times New Roman" w:eastAsia="仿宋_GB2312" w:cs="Times New Roman"/>
                <w:b/>
                <w:bCs/>
                <w:color w:val="000000"/>
                <w:kern w:val="0"/>
                <w:sz w:val="24"/>
                <w:szCs w:val="24"/>
                <w:highlight w:val="none"/>
                <w:lang w:val="en-US" w:eastAsia="zh-CN" w:bidi="ar-SA"/>
              </w:rPr>
            </w:pPr>
            <w:r>
              <w:rPr>
                <w:rFonts w:hint="eastAsia" w:ascii="Times New Roman" w:hAnsi="Times New Roman" w:eastAsia="仿宋_GB2312"/>
                <w:b/>
                <w:bCs/>
                <w:color w:val="000000"/>
                <w:kern w:val="0"/>
                <w:sz w:val="24"/>
                <w:highlight w:val="none"/>
                <w:lang w:val="en-US" w:eastAsia="zh-CN"/>
              </w:rPr>
              <w:t>行政区</w:t>
            </w:r>
          </w:p>
        </w:tc>
        <w:tc>
          <w:tcPr>
            <w:tcW w:w="2847" w:type="pct"/>
            <w:gridSpan w:val="3"/>
            <w:noWrap/>
            <w:vAlign w:val="center"/>
          </w:tcPr>
          <w:p w14:paraId="449C5551">
            <w:pPr>
              <w:jc w:val="center"/>
              <w:rPr>
                <w:rFonts w:ascii="Times New Roman" w:hAnsi="Times New Roman" w:eastAsia="仿宋_GB2312"/>
                <w:b/>
                <w:color w:val="000000"/>
                <w:szCs w:val="21"/>
                <w:highlight w:val="none"/>
              </w:rPr>
            </w:pPr>
            <w:r>
              <w:rPr>
                <w:rFonts w:ascii="Times New Roman" w:hAnsi="Times New Roman" w:eastAsia="仿宋_GB2312"/>
                <w:b/>
                <w:color w:val="000000"/>
                <w:szCs w:val="21"/>
                <w:highlight w:val="none"/>
              </w:rPr>
              <w:t>土地级别</w:t>
            </w:r>
          </w:p>
        </w:tc>
      </w:tr>
      <w:tr w14:paraId="41558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continue"/>
            <w:noWrap/>
            <w:vAlign w:val="center"/>
          </w:tcPr>
          <w:p w14:paraId="56845B23">
            <w:pPr>
              <w:jc w:val="center"/>
              <w:rPr>
                <w:rFonts w:ascii="Times New Roman" w:hAnsi="Times New Roman" w:eastAsia="仿宋_GB2312"/>
                <w:b/>
                <w:color w:val="000000"/>
                <w:szCs w:val="21"/>
                <w:highlight w:val="none"/>
              </w:rPr>
            </w:pPr>
          </w:p>
        </w:tc>
        <w:tc>
          <w:tcPr>
            <w:tcW w:w="616" w:type="pct"/>
            <w:vMerge w:val="continue"/>
            <w:noWrap/>
            <w:vAlign w:val="center"/>
          </w:tcPr>
          <w:p w14:paraId="7B069FC1">
            <w:pPr>
              <w:jc w:val="center"/>
              <w:rPr>
                <w:rFonts w:ascii="Times New Roman" w:hAnsi="Times New Roman" w:eastAsia="仿宋_GB2312"/>
                <w:b/>
                <w:color w:val="000000"/>
                <w:szCs w:val="21"/>
                <w:highlight w:val="none"/>
              </w:rPr>
            </w:pPr>
          </w:p>
        </w:tc>
        <w:tc>
          <w:tcPr>
            <w:tcW w:w="1112" w:type="pct"/>
            <w:vMerge w:val="continue"/>
            <w:noWrap/>
            <w:vAlign w:val="center"/>
          </w:tcPr>
          <w:p w14:paraId="3B6EDB6C">
            <w:pPr>
              <w:jc w:val="center"/>
              <w:rPr>
                <w:rFonts w:ascii="Times New Roman" w:hAnsi="Times New Roman" w:eastAsia="仿宋_GB2312"/>
                <w:b/>
                <w:color w:val="000000"/>
                <w:szCs w:val="21"/>
                <w:highlight w:val="none"/>
              </w:rPr>
            </w:pPr>
          </w:p>
        </w:tc>
        <w:tc>
          <w:tcPr>
            <w:tcW w:w="902" w:type="pct"/>
            <w:noWrap/>
            <w:vAlign w:val="center"/>
          </w:tcPr>
          <w:p w14:paraId="39CE8613">
            <w:pPr>
              <w:jc w:val="center"/>
              <w:rPr>
                <w:rFonts w:ascii="Times New Roman" w:hAnsi="Times New Roman" w:eastAsia="仿宋_GB2312"/>
                <w:b/>
                <w:color w:val="000000"/>
                <w:szCs w:val="21"/>
                <w:highlight w:val="none"/>
              </w:rPr>
            </w:pPr>
            <w:r>
              <w:rPr>
                <w:rFonts w:ascii="Times New Roman" w:hAnsi="Times New Roman" w:eastAsia="仿宋_GB2312"/>
                <w:color w:val="000000"/>
                <w:kern w:val="0"/>
                <w:sz w:val="24"/>
                <w:szCs w:val="24"/>
                <w:highlight w:val="none"/>
              </w:rPr>
              <w:t>Ⅰ</w:t>
            </w:r>
          </w:p>
        </w:tc>
        <w:tc>
          <w:tcPr>
            <w:tcW w:w="1224" w:type="pct"/>
            <w:noWrap/>
            <w:vAlign w:val="center"/>
          </w:tcPr>
          <w:p w14:paraId="687F3858">
            <w:pPr>
              <w:jc w:val="center"/>
              <w:rPr>
                <w:rFonts w:ascii="Times New Roman" w:hAnsi="Times New Roman" w:eastAsia="仿宋_GB2312"/>
                <w:b/>
                <w:color w:val="000000"/>
                <w:szCs w:val="21"/>
                <w:highlight w:val="none"/>
              </w:rPr>
            </w:pPr>
            <w:r>
              <w:rPr>
                <w:rFonts w:ascii="Times New Roman" w:hAnsi="Times New Roman" w:eastAsia="仿宋_GB2312"/>
                <w:color w:val="000000"/>
                <w:kern w:val="0"/>
                <w:sz w:val="24"/>
                <w:szCs w:val="24"/>
                <w:highlight w:val="none"/>
              </w:rPr>
              <w:t>Ⅱ</w:t>
            </w:r>
          </w:p>
        </w:tc>
        <w:tc>
          <w:tcPr>
            <w:tcW w:w="720" w:type="pct"/>
            <w:noWrap/>
            <w:vAlign w:val="center"/>
          </w:tcPr>
          <w:p w14:paraId="34444D5A">
            <w:pPr>
              <w:jc w:val="center"/>
              <w:rPr>
                <w:rFonts w:ascii="Times New Roman" w:hAnsi="Times New Roman" w:eastAsia="仿宋_GB2312"/>
                <w:b/>
                <w:color w:val="000000"/>
                <w:szCs w:val="21"/>
                <w:highlight w:val="none"/>
              </w:rPr>
            </w:pPr>
            <w:r>
              <w:rPr>
                <w:rFonts w:ascii="Times New Roman" w:hAnsi="Times New Roman" w:eastAsia="仿宋_GB2312"/>
                <w:color w:val="000000"/>
                <w:kern w:val="0"/>
                <w:sz w:val="24"/>
                <w:szCs w:val="24"/>
                <w:highlight w:val="none"/>
              </w:rPr>
              <w:t>Ⅲ</w:t>
            </w:r>
          </w:p>
        </w:tc>
      </w:tr>
      <w:tr w14:paraId="68C39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restart"/>
            <w:noWrap/>
            <w:vAlign w:val="center"/>
          </w:tcPr>
          <w:p w14:paraId="3AC4D26B">
            <w:pPr>
              <w:widowControl/>
              <w:jc w:val="center"/>
              <w:textAlignment w:val="center"/>
              <w:rPr>
                <w:rFonts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rPr>
              <w:t>1</w:t>
            </w:r>
          </w:p>
        </w:tc>
        <w:tc>
          <w:tcPr>
            <w:tcW w:w="616" w:type="pct"/>
            <w:vMerge w:val="restart"/>
            <w:noWrap/>
            <w:vAlign w:val="center"/>
          </w:tcPr>
          <w:p w14:paraId="004449C6">
            <w:pPr>
              <w:widowControl/>
              <w:jc w:val="center"/>
              <w:textAlignment w:val="center"/>
              <w:rPr>
                <w:rFonts w:hint="eastAsia"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rPr>
              <w:t>东安区</w:t>
            </w:r>
          </w:p>
        </w:tc>
        <w:tc>
          <w:tcPr>
            <w:tcW w:w="1112" w:type="pct"/>
            <w:noWrap/>
            <w:vAlign w:val="center"/>
          </w:tcPr>
          <w:p w14:paraId="2669A405">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兴隆镇</w:t>
            </w:r>
          </w:p>
        </w:tc>
        <w:tc>
          <w:tcPr>
            <w:tcW w:w="902" w:type="pct"/>
            <w:noWrap/>
            <w:vAlign w:val="center"/>
          </w:tcPr>
          <w:p w14:paraId="0973CAF3">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1224" w:type="pct"/>
            <w:noWrap/>
            <w:vAlign w:val="center"/>
          </w:tcPr>
          <w:p w14:paraId="1CBA861C">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720" w:type="pct"/>
            <w:noWrap/>
            <w:vAlign w:val="center"/>
          </w:tcPr>
          <w:p w14:paraId="1CF4E37E">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r w14:paraId="0B796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422" w:type="pct"/>
            <w:vMerge w:val="continue"/>
            <w:noWrap/>
            <w:vAlign w:val="center"/>
          </w:tcPr>
          <w:p w14:paraId="1EAD83D2">
            <w:pPr>
              <w:widowControl/>
              <w:jc w:val="center"/>
              <w:textAlignment w:val="center"/>
              <w:rPr>
                <w:rFonts w:hint="eastAsia" w:ascii="Times New Roman" w:hAnsi="Times New Roman" w:eastAsia="仿宋_GB2312"/>
                <w:color w:val="000000"/>
                <w:kern w:val="0"/>
                <w:sz w:val="24"/>
                <w:highlight w:val="none"/>
              </w:rPr>
            </w:pPr>
          </w:p>
        </w:tc>
        <w:tc>
          <w:tcPr>
            <w:tcW w:w="616" w:type="pct"/>
            <w:vMerge w:val="continue"/>
            <w:noWrap/>
            <w:vAlign w:val="center"/>
          </w:tcPr>
          <w:p w14:paraId="666DA83F">
            <w:pPr>
              <w:widowControl/>
              <w:jc w:val="center"/>
              <w:textAlignment w:val="center"/>
              <w:rPr>
                <w:rFonts w:hint="eastAsia" w:ascii="Times New Roman" w:hAnsi="Times New Roman" w:eastAsia="仿宋_GB2312"/>
                <w:color w:val="000000"/>
                <w:kern w:val="0"/>
                <w:sz w:val="24"/>
                <w:highlight w:val="none"/>
              </w:rPr>
            </w:pPr>
          </w:p>
        </w:tc>
        <w:tc>
          <w:tcPr>
            <w:tcW w:w="1112" w:type="pct"/>
            <w:noWrap/>
            <w:vAlign w:val="center"/>
          </w:tcPr>
          <w:p w14:paraId="459899F9">
            <w:pPr>
              <w:widowControl/>
              <w:jc w:val="center"/>
              <w:textAlignment w:val="center"/>
              <w:rPr>
                <w:rFonts w:hint="default"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原森工林业局</w:t>
            </w:r>
          </w:p>
        </w:tc>
        <w:tc>
          <w:tcPr>
            <w:tcW w:w="902" w:type="pct"/>
            <w:noWrap/>
            <w:vAlign w:val="center"/>
          </w:tcPr>
          <w:p w14:paraId="6234BB47">
            <w:pPr>
              <w:widowControl/>
              <w:jc w:val="center"/>
              <w:textAlignment w:val="center"/>
              <w:rPr>
                <w:rFonts w:hint="eastAsia" w:ascii="Times New Roman" w:hAnsi="Times New Roman" w:eastAsia="仿宋_GB2312"/>
                <w:color w:val="000000"/>
                <w:kern w:val="0"/>
                <w:sz w:val="24"/>
                <w:highlight w:val="none"/>
                <w:lang w:val="en-US" w:eastAsia="zh-CN"/>
              </w:rPr>
            </w:pPr>
          </w:p>
        </w:tc>
        <w:tc>
          <w:tcPr>
            <w:tcW w:w="1224" w:type="pct"/>
            <w:noWrap/>
            <w:vAlign w:val="center"/>
          </w:tcPr>
          <w:p w14:paraId="4DB036AC">
            <w:pPr>
              <w:widowControl/>
              <w:jc w:val="center"/>
              <w:textAlignment w:val="center"/>
              <w:rPr>
                <w:rFonts w:hint="eastAsia" w:ascii="Times New Roman" w:hAnsi="Times New Roman" w:eastAsia="仿宋_GB2312"/>
                <w:color w:val="000000"/>
                <w:kern w:val="0"/>
                <w:sz w:val="24"/>
                <w:highlight w:val="none"/>
                <w:lang w:val="en-US" w:eastAsia="zh-CN"/>
              </w:rPr>
            </w:pPr>
          </w:p>
        </w:tc>
        <w:tc>
          <w:tcPr>
            <w:tcW w:w="720" w:type="pct"/>
            <w:noWrap/>
            <w:vAlign w:val="center"/>
          </w:tcPr>
          <w:p w14:paraId="603FE3C5">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r w14:paraId="467F1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noWrap/>
            <w:vAlign w:val="center"/>
          </w:tcPr>
          <w:p w14:paraId="5EDC86F4">
            <w:pPr>
              <w:widowControl/>
              <w:jc w:val="center"/>
              <w:textAlignment w:val="center"/>
              <w:rPr>
                <w:rFonts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rPr>
              <w:t>2</w:t>
            </w:r>
          </w:p>
        </w:tc>
        <w:tc>
          <w:tcPr>
            <w:tcW w:w="616" w:type="pct"/>
            <w:noWrap/>
            <w:vAlign w:val="center"/>
          </w:tcPr>
          <w:p w14:paraId="35234C6B">
            <w:pPr>
              <w:widowControl/>
              <w:jc w:val="center"/>
              <w:textAlignment w:val="center"/>
              <w:rPr>
                <w:rFonts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rPr>
              <w:t>爱民区</w:t>
            </w:r>
          </w:p>
        </w:tc>
        <w:tc>
          <w:tcPr>
            <w:tcW w:w="1112" w:type="pct"/>
            <w:noWrap/>
            <w:vAlign w:val="center"/>
          </w:tcPr>
          <w:p w14:paraId="0E0AB478">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三道关镇</w:t>
            </w:r>
          </w:p>
        </w:tc>
        <w:tc>
          <w:tcPr>
            <w:tcW w:w="902" w:type="pct"/>
            <w:noWrap/>
            <w:vAlign w:val="center"/>
          </w:tcPr>
          <w:p w14:paraId="2D6D799F">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1224" w:type="pct"/>
            <w:noWrap/>
            <w:vAlign w:val="center"/>
          </w:tcPr>
          <w:p w14:paraId="38A7320D">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720" w:type="pct"/>
            <w:noWrap/>
            <w:vAlign w:val="center"/>
          </w:tcPr>
          <w:p w14:paraId="6FD5FB3F">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r w14:paraId="63A6B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restart"/>
            <w:noWrap/>
            <w:vAlign w:val="center"/>
          </w:tcPr>
          <w:p w14:paraId="1F6D17C5">
            <w:pPr>
              <w:widowControl/>
              <w:jc w:val="center"/>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3</w:t>
            </w:r>
          </w:p>
        </w:tc>
        <w:tc>
          <w:tcPr>
            <w:tcW w:w="616" w:type="pct"/>
            <w:vMerge w:val="restart"/>
            <w:noWrap/>
            <w:vAlign w:val="center"/>
          </w:tcPr>
          <w:p w14:paraId="606ED753">
            <w:pPr>
              <w:widowControl/>
              <w:jc w:val="center"/>
              <w:textAlignment w:val="center"/>
              <w:rPr>
                <w:rFonts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rPr>
              <w:t>西安区</w:t>
            </w:r>
          </w:p>
        </w:tc>
        <w:tc>
          <w:tcPr>
            <w:tcW w:w="1112" w:type="pct"/>
            <w:noWrap/>
            <w:vAlign w:val="center"/>
          </w:tcPr>
          <w:p w14:paraId="4AAEEC7D">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温春镇</w:t>
            </w:r>
          </w:p>
        </w:tc>
        <w:tc>
          <w:tcPr>
            <w:tcW w:w="902" w:type="pct"/>
            <w:noWrap/>
            <w:vAlign w:val="center"/>
          </w:tcPr>
          <w:p w14:paraId="5180FCE6">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1224" w:type="pct"/>
            <w:noWrap/>
            <w:vAlign w:val="center"/>
          </w:tcPr>
          <w:p w14:paraId="5A2EF332">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720" w:type="pct"/>
            <w:noWrap/>
            <w:vAlign w:val="center"/>
          </w:tcPr>
          <w:p w14:paraId="6976CE4A">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r w14:paraId="782DF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continue"/>
            <w:noWrap/>
            <w:vAlign w:val="center"/>
          </w:tcPr>
          <w:p w14:paraId="1E19590B">
            <w:pPr>
              <w:widowControl/>
              <w:jc w:val="center"/>
              <w:textAlignment w:val="center"/>
              <w:rPr>
                <w:rFonts w:ascii="Times New Roman" w:hAnsi="Times New Roman" w:eastAsia="仿宋_GB2312"/>
                <w:color w:val="000000"/>
                <w:kern w:val="0"/>
                <w:sz w:val="24"/>
                <w:highlight w:val="none"/>
              </w:rPr>
            </w:pPr>
          </w:p>
        </w:tc>
        <w:tc>
          <w:tcPr>
            <w:tcW w:w="616" w:type="pct"/>
            <w:vMerge w:val="continue"/>
            <w:noWrap/>
            <w:vAlign w:val="center"/>
          </w:tcPr>
          <w:p w14:paraId="788D2D86">
            <w:pPr>
              <w:widowControl/>
              <w:jc w:val="center"/>
              <w:textAlignment w:val="center"/>
              <w:rPr>
                <w:rFonts w:ascii="Times New Roman" w:hAnsi="Times New Roman" w:eastAsia="仿宋_GB2312"/>
                <w:color w:val="000000"/>
                <w:kern w:val="0"/>
                <w:sz w:val="24"/>
                <w:highlight w:val="none"/>
              </w:rPr>
            </w:pPr>
          </w:p>
        </w:tc>
        <w:tc>
          <w:tcPr>
            <w:tcW w:w="1112" w:type="pct"/>
            <w:noWrap/>
            <w:vAlign w:val="center"/>
          </w:tcPr>
          <w:p w14:paraId="68353C73">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海南乡</w:t>
            </w:r>
          </w:p>
        </w:tc>
        <w:tc>
          <w:tcPr>
            <w:tcW w:w="902" w:type="pct"/>
            <w:noWrap/>
            <w:vAlign w:val="center"/>
          </w:tcPr>
          <w:p w14:paraId="296B86F4">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1224" w:type="pct"/>
            <w:noWrap/>
            <w:vAlign w:val="center"/>
          </w:tcPr>
          <w:p w14:paraId="2A020FE9">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720" w:type="pct"/>
            <w:noWrap/>
            <w:vAlign w:val="center"/>
          </w:tcPr>
          <w:p w14:paraId="54CFBB8B">
            <w:pPr>
              <w:widowControl/>
              <w:jc w:val="center"/>
              <w:textAlignment w:val="center"/>
              <w:rPr>
                <w:rFonts w:hint="eastAsia" w:ascii="Times New Roman" w:hAnsi="Times New Roman" w:eastAsia="仿宋_GB2312"/>
                <w:color w:val="000000"/>
                <w:kern w:val="0"/>
                <w:sz w:val="24"/>
                <w:highlight w:val="none"/>
                <w:lang w:eastAsia="zh-CN"/>
              </w:rPr>
            </w:pPr>
          </w:p>
        </w:tc>
      </w:tr>
      <w:tr w14:paraId="4505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restart"/>
            <w:noWrap/>
            <w:vAlign w:val="center"/>
          </w:tcPr>
          <w:p w14:paraId="277D3B25">
            <w:pPr>
              <w:widowControl/>
              <w:jc w:val="center"/>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4</w:t>
            </w:r>
          </w:p>
        </w:tc>
        <w:tc>
          <w:tcPr>
            <w:tcW w:w="616" w:type="pct"/>
            <w:vMerge w:val="restart"/>
            <w:noWrap/>
            <w:vAlign w:val="center"/>
          </w:tcPr>
          <w:p w14:paraId="36769933">
            <w:pPr>
              <w:widowControl/>
              <w:jc w:val="center"/>
              <w:textAlignment w:val="center"/>
              <w:rPr>
                <w:rFonts w:hint="eastAsia"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rPr>
              <w:t>阳明区</w:t>
            </w:r>
          </w:p>
        </w:tc>
        <w:tc>
          <w:tcPr>
            <w:tcW w:w="1112" w:type="pct"/>
            <w:noWrap/>
            <w:vAlign w:val="center"/>
          </w:tcPr>
          <w:p w14:paraId="7931002D">
            <w:pPr>
              <w:widowControl/>
              <w:jc w:val="center"/>
              <w:textAlignment w:val="center"/>
              <w:rPr>
                <w:rFonts w:hint="eastAsia" w:ascii="Times New Roman" w:hAnsi="Times New Roman" w:eastAsia="仿宋_GB2312"/>
                <w:color w:val="000000"/>
                <w:kern w:val="0"/>
                <w:sz w:val="24"/>
                <w:highlight w:val="none"/>
              </w:rPr>
            </w:pPr>
            <w:r>
              <w:rPr>
                <w:rFonts w:hint="eastAsia" w:ascii="Times New Roman" w:hAnsi="Times New Roman" w:eastAsia="仿宋_GB2312"/>
                <w:color w:val="000000"/>
                <w:kern w:val="0"/>
                <w:sz w:val="24"/>
                <w:szCs w:val="24"/>
                <w:highlight w:val="none"/>
                <w:lang w:eastAsia="zh-CN"/>
              </w:rPr>
              <w:t>街道（办事处）</w:t>
            </w:r>
          </w:p>
        </w:tc>
        <w:tc>
          <w:tcPr>
            <w:tcW w:w="902" w:type="pct"/>
            <w:noWrap/>
            <w:vAlign w:val="center"/>
          </w:tcPr>
          <w:p w14:paraId="522932A9">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1224" w:type="pct"/>
            <w:noWrap/>
            <w:vAlign w:val="center"/>
          </w:tcPr>
          <w:p w14:paraId="63E23D8F">
            <w:pPr>
              <w:widowControl/>
              <w:jc w:val="center"/>
              <w:textAlignment w:val="center"/>
              <w:rPr>
                <w:rFonts w:ascii="Times New Roman" w:hAnsi="Times New Roman" w:eastAsia="仿宋_GB2312"/>
                <w:color w:val="000000"/>
                <w:kern w:val="0"/>
                <w:sz w:val="24"/>
                <w:highlight w:val="none"/>
              </w:rPr>
            </w:pPr>
          </w:p>
        </w:tc>
        <w:tc>
          <w:tcPr>
            <w:tcW w:w="720" w:type="pct"/>
            <w:noWrap/>
            <w:vAlign w:val="center"/>
          </w:tcPr>
          <w:p w14:paraId="1AD0DC0F">
            <w:pPr>
              <w:widowControl/>
              <w:jc w:val="center"/>
              <w:textAlignment w:val="center"/>
              <w:rPr>
                <w:rFonts w:ascii="Times New Roman" w:hAnsi="Times New Roman" w:eastAsia="仿宋_GB2312"/>
                <w:color w:val="000000"/>
                <w:kern w:val="0"/>
                <w:sz w:val="24"/>
                <w:highlight w:val="none"/>
              </w:rPr>
            </w:pPr>
          </w:p>
        </w:tc>
      </w:tr>
      <w:tr w14:paraId="7DB09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422" w:type="pct"/>
            <w:vMerge w:val="continue"/>
            <w:noWrap/>
            <w:vAlign w:val="center"/>
          </w:tcPr>
          <w:p w14:paraId="06A20DEE">
            <w:pPr>
              <w:widowControl/>
              <w:jc w:val="center"/>
              <w:textAlignment w:val="center"/>
              <w:rPr>
                <w:rFonts w:ascii="Times New Roman" w:hAnsi="Times New Roman" w:eastAsia="仿宋_GB2312"/>
                <w:color w:val="000000"/>
                <w:kern w:val="0"/>
                <w:sz w:val="24"/>
                <w:highlight w:val="none"/>
              </w:rPr>
            </w:pPr>
          </w:p>
        </w:tc>
        <w:tc>
          <w:tcPr>
            <w:tcW w:w="616" w:type="pct"/>
            <w:vMerge w:val="continue"/>
            <w:noWrap/>
            <w:vAlign w:val="center"/>
          </w:tcPr>
          <w:p w14:paraId="125F5145">
            <w:pPr>
              <w:widowControl/>
              <w:jc w:val="center"/>
              <w:textAlignment w:val="center"/>
              <w:rPr>
                <w:rFonts w:ascii="Times New Roman" w:hAnsi="Times New Roman" w:eastAsia="仿宋_GB2312"/>
                <w:color w:val="000000"/>
                <w:kern w:val="0"/>
                <w:sz w:val="24"/>
                <w:highlight w:val="none"/>
              </w:rPr>
            </w:pPr>
          </w:p>
        </w:tc>
        <w:tc>
          <w:tcPr>
            <w:tcW w:w="1112" w:type="pct"/>
            <w:noWrap/>
            <w:vAlign w:val="center"/>
          </w:tcPr>
          <w:p w14:paraId="66D236C7">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铁岭镇</w:t>
            </w:r>
          </w:p>
        </w:tc>
        <w:tc>
          <w:tcPr>
            <w:tcW w:w="902" w:type="pct"/>
            <w:noWrap/>
            <w:vAlign w:val="center"/>
          </w:tcPr>
          <w:p w14:paraId="2A97B1A8">
            <w:pPr>
              <w:widowControl/>
              <w:jc w:val="center"/>
              <w:textAlignment w:val="center"/>
              <w:rPr>
                <w:rFonts w:hint="eastAsia" w:ascii="Times New Roman" w:hAnsi="Times New Roman" w:eastAsia="仿宋_GB2312"/>
                <w:color w:val="000000"/>
                <w:kern w:val="0"/>
                <w:sz w:val="24"/>
                <w:highlight w:val="none"/>
                <w:lang w:val="en-US" w:eastAsia="zh-CN"/>
              </w:rPr>
            </w:pPr>
          </w:p>
        </w:tc>
        <w:tc>
          <w:tcPr>
            <w:tcW w:w="1224" w:type="pct"/>
            <w:noWrap/>
            <w:vAlign w:val="center"/>
          </w:tcPr>
          <w:p w14:paraId="65660665">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720" w:type="pct"/>
            <w:noWrap/>
            <w:vAlign w:val="center"/>
          </w:tcPr>
          <w:p w14:paraId="74985BE4">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r w14:paraId="5EA4D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continue"/>
            <w:noWrap/>
            <w:vAlign w:val="center"/>
          </w:tcPr>
          <w:p w14:paraId="1C08A556">
            <w:pPr>
              <w:widowControl/>
              <w:jc w:val="center"/>
              <w:textAlignment w:val="center"/>
              <w:rPr>
                <w:rFonts w:ascii="Times New Roman" w:hAnsi="Times New Roman" w:eastAsia="仿宋_GB2312"/>
                <w:color w:val="000000"/>
                <w:kern w:val="0"/>
                <w:sz w:val="24"/>
                <w:highlight w:val="none"/>
              </w:rPr>
            </w:pPr>
          </w:p>
        </w:tc>
        <w:tc>
          <w:tcPr>
            <w:tcW w:w="616" w:type="pct"/>
            <w:vMerge w:val="continue"/>
            <w:noWrap/>
            <w:vAlign w:val="center"/>
          </w:tcPr>
          <w:p w14:paraId="71B805B7">
            <w:pPr>
              <w:widowControl/>
              <w:jc w:val="center"/>
              <w:textAlignment w:val="center"/>
              <w:rPr>
                <w:rFonts w:ascii="Times New Roman" w:hAnsi="Times New Roman" w:eastAsia="仿宋_GB2312"/>
                <w:color w:val="000000"/>
                <w:kern w:val="0"/>
                <w:sz w:val="24"/>
                <w:highlight w:val="none"/>
              </w:rPr>
            </w:pPr>
          </w:p>
        </w:tc>
        <w:tc>
          <w:tcPr>
            <w:tcW w:w="1112" w:type="pct"/>
            <w:noWrap/>
            <w:vAlign w:val="center"/>
          </w:tcPr>
          <w:p w14:paraId="29AE971E">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桦林镇</w:t>
            </w:r>
          </w:p>
        </w:tc>
        <w:tc>
          <w:tcPr>
            <w:tcW w:w="902" w:type="pct"/>
            <w:noWrap/>
            <w:vAlign w:val="center"/>
          </w:tcPr>
          <w:p w14:paraId="5406612D">
            <w:pPr>
              <w:widowControl/>
              <w:jc w:val="center"/>
              <w:textAlignment w:val="center"/>
              <w:rPr>
                <w:rFonts w:hint="eastAsia" w:ascii="Times New Roman" w:hAnsi="Times New Roman" w:eastAsia="仿宋_GB2312"/>
                <w:color w:val="000000"/>
                <w:kern w:val="0"/>
                <w:sz w:val="24"/>
                <w:highlight w:val="none"/>
                <w:lang w:val="en-US" w:eastAsia="zh-CN"/>
              </w:rPr>
            </w:pPr>
          </w:p>
        </w:tc>
        <w:tc>
          <w:tcPr>
            <w:tcW w:w="1224" w:type="pct"/>
            <w:noWrap/>
            <w:vAlign w:val="center"/>
          </w:tcPr>
          <w:p w14:paraId="0126AD14">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720" w:type="pct"/>
            <w:noWrap/>
            <w:vAlign w:val="center"/>
          </w:tcPr>
          <w:p w14:paraId="7FDD0B9A">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r w14:paraId="0120F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continue"/>
            <w:noWrap/>
            <w:vAlign w:val="center"/>
          </w:tcPr>
          <w:p w14:paraId="6FADFFFE">
            <w:pPr>
              <w:widowControl/>
              <w:jc w:val="center"/>
              <w:textAlignment w:val="center"/>
              <w:rPr>
                <w:rFonts w:ascii="Times New Roman" w:hAnsi="Times New Roman" w:eastAsia="仿宋_GB2312"/>
                <w:color w:val="000000"/>
                <w:kern w:val="0"/>
                <w:sz w:val="24"/>
                <w:highlight w:val="none"/>
              </w:rPr>
            </w:pPr>
          </w:p>
        </w:tc>
        <w:tc>
          <w:tcPr>
            <w:tcW w:w="616" w:type="pct"/>
            <w:vMerge w:val="continue"/>
            <w:noWrap/>
            <w:vAlign w:val="center"/>
          </w:tcPr>
          <w:p w14:paraId="2928EC24">
            <w:pPr>
              <w:widowControl/>
              <w:jc w:val="center"/>
              <w:textAlignment w:val="center"/>
              <w:rPr>
                <w:rFonts w:ascii="Times New Roman" w:hAnsi="Times New Roman" w:eastAsia="仿宋_GB2312"/>
                <w:color w:val="000000"/>
                <w:kern w:val="0"/>
                <w:sz w:val="24"/>
                <w:highlight w:val="none"/>
              </w:rPr>
            </w:pPr>
          </w:p>
        </w:tc>
        <w:tc>
          <w:tcPr>
            <w:tcW w:w="1112" w:type="pct"/>
            <w:noWrap/>
            <w:vAlign w:val="center"/>
          </w:tcPr>
          <w:p w14:paraId="51B467B7">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五林镇</w:t>
            </w:r>
          </w:p>
        </w:tc>
        <w:tc>
          <w:tcPr>
            <w:tcW w:w="902" w:type="pct"/>
            <w:noWrap/>
            <w:vAlign w:val="center"/>
          </w:tcPr>
          <w:p w14:paraId="38E920D4">
            <w:pPr>
              <w:widowControl/>
              <w:jc w:val="center"/>
              <w:textAlignment w:val="center"/>
              <w:rPr>
                <w:rFonts w:hint="eastAsia" w:ascii="Times New Roman" w:hAnsi="Times New Roman" w:eastAsia="仿宋_GB2312"/>
                <w:color w:val="000000"/>
                <w:kern w:val="0"/>
                <w:sz w:val="24"/>
                <w:highlight w:val="none"/>
                <w:lang w:val="en-US" w:eastAsia="zh-CN"/>
              </w:rPr>
            </w:pPr>
          </w:p>
        </w:tc>
        <w:tc>
          <w:tcPr>
            <w:tcW w:w="1224" w:type="pct"/>
            <w:noWrap/>
            <w:vAlign w:val="center"/>
          </w:tcPr>
          <w:p w14:paraId="6A1B8903">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720" w:type="pct"/>
            <w:noWrap/>
            <w:vAlign w:val="center"/>
          </w:tcPr>
          <w:p w14:paraId="569ACA79">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r w14:paraId="060FB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continue"/>
            <w:noWrap/>
            <w:vAlign w:val="center"/>
          </w:tcPr>
          <w:p w14:paraId="2A1E597F">
            <w:pPr>
              <w:widowControl/>
              <w:jc w:val="center"/>
              <w:textAlignment w:val="center"/>
              <w:rPr>
                <w:rFonts w:hint="eastAsia" w:ascii="Times New Roman" w:hAnsi="Times New Roman" w:eastAsia="仿宋_GB2312"/>
                <w:color w:val="000000"/>
                <w:kern w:val="0"/>
                <w:sz w:val="24"/>
                <w:highlight w:val="none"/>
              </w:rPr>
            </w:pPr>
          </w:p>
        </w:tc>
        <w:tc>
          <w:tcPr>
            <w:tcW w:w="616" w:type="pct"/>
            <w:vMerge w:val="continue"/>
            <w:noWrap/>
            <w:vAlign w:val="center"/>
          </w:tcPr>
          <w:p w14:paraId="77C6A458">
            <w:pPr>
              <w:widowControl/>
              <w:jc w:val="center"/>
              <w:textAlignment w:val="center"/>
              <w:rPr>
                <w:rFonts w:ascii="Times New Roman" w:hAnsi="Times New Roman" w:eastAsia="仿宋_GB2312"/>
                <w:color w:val="000000"/>
                <w:kern w:val="0"/>
                <w:sz w:val="24"/>
                <w:highlight w:val="none"/>
              </w:rPr>
            </w:pPr>
          </w:p>
        </w:tc>
        <w:tc>
          <w:tcPr>
            <w:tcW w:w="1112" w:type="pct"/>
            <w:noWrap/>
            <w:vAlign w:val="center"/>
          </w:tcPr>
          <w:p w14:paraId="5098C504">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磨刀石镇</w:t>
            </w:r>
          </w:p>
        </w:tc>
        <w:tc>
          <w:tcPr>
            <w:tcW w:w="902" w:type="pct"/>
            <w:noWrap/>
            <w:vAlign w:val="center"/>
          </w:tcPr>
          <w:p w14:paraId="6CFCD077">
            <w:pPr>
              <w:widowControl/>
              <w:jc w:val="center"/>
              <w:textAlignment w:val="center"/>
              <w:rPr>
                <w:rFonts w:hint="eastAsia" w:ascii="Times New Roman" w:hAnsi="Times New Roman" w:eastAsia="仿宋_GB2312"/>
                <w:color w:val="000000"/>
                <w:kern w:val="0"/>
                <w:sz w:val="24"/>
                <w:highlight w:val="none"/>
                <w:lang w:val="en-US" w:eastAsia="zh-CN"/>
              </w:rPr>
            </w:pPr>
          </w:p>
        </w:tc>
        <w:tc>
          <w:tcPr>
            <w:tcW w:w="1224" w:type="pct"/>
            <w:noWrap/>
            <w:vAlign w:val="center"/>
          </w:tcPr>
          <w:p w14:paraId="047A92DB">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c>
          <w:tcPr>
            <w:tcW w:w="720" w:type="pct"/>
            <w:noWrap/>
            <w:vAlign w:val="center"/>
          </w:tcPr>
          <w:p w14:paraId="55469F42">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r w14:paraId="06B45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2" w:type="pct"/>
            <w:vMerge w:val="continue"/>
            <w:noWrap/>
            <w:vAlign w:val="center"/>
          </w:tcPr>
          <w:p w14:paraId="02BC907A">
            <w:pPr>
              <w:widowControl/>
              <w:jc w:val="center"/>
              <w:textAlignment w:val="center"/>
              <w:rPr>
                <w:rFonts w:hint="eastAsia" w:ascii="Times New Roman" w:hAnsi="Times New Roman" w:eastAsia="仿宋_GB2312"/>
                <w:color w:val="000000"/>
                <w:kern w:val="0"/>
                <w:sz w:val="24"/>
                <w:highlight w:val="none"/>
              </w:rPr>
            </w:pPr>
          </w:p>
        </w:tc>
        <w:tc>
          <w:tcPr>
            <w:tcW w:w="616" w:type="pct"/>
            <w:vMerge w:val="continue"/>
            <w:noWrap/>
            <w:vAlign w:val="center"/>
          </w:tcPr>
          <w:p w14:paraId="52F16F05">
            <w:pPr>
              <w:widowControl/>
              <w:jc w:val="center"/>
              <w:textAlignment w:val="center"/>
              <w:rPr>
                <w:rFonts w:ascii="Times New Roman" w:hAnsi="Times New Roman" w:eastAsia="仿宋_GB2312"/>
                <w:color w:val="000000"/>
                <w:kern w:val="0"/>
                <w:sz w:val="24"/>
                <w:highlight w:val="none"/>
              </w:rPr>
            </w:pPr>
          </w:p>
        </w:tc>
        <w:tc>
          <w:tcPr>
            <w:tcW w:w="1112" w:type="pct"/>
            <w:noWrap/>
            <w:vAlign w:val="center"/>
          </w:tcPr>
          <w:p w14:paraId="608EB8D9">
            <w:pPr>
              <w:widowControl/>
              <w:jc w:val="center"/>
              <w:textAlignment w:val="center"/>
              <w:rPr>
                <w:rFonts w:hint="default"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原森工林业局</w:t>
            </w:r>
          </w:p>
        </w:tc>
        <w:tc>
          <w:tcPr>
            <w:tcW w:w="902" w:type="pct"/>
            <w:noWrap/>
            <w:vAlign w:val="center"/>
          </w:tcPr>
          <w:p w14:paraId="1227FD80">
            <w:pPr>
              <w:widowControl/>
              <w:jc w:val="center"/>
              <w:textAlignment w:val="center"/>
              <w:rPr>
                <w:rFonts w:hint="eastAsia" w:ascii="Times New Roman" w:hAnsi="Times New Roman" w:eastAsia="仿宋_GB2312"/>
                <w:color w:val="000000"/>
                <w:kern w:val="0"/>
                <w:sz w:val="24"/>
                <w:highlight w:val="none"/>
                <w:lang w:val="en-US" w:eastAsia="zh-CN"/>
              </w:rPr>
            </w:pPr>
          </w:p>
        </w:tc>
        <w:tc>
          <w:tcPr>
            <w:tcW w:w="1224" w:type="pct"/>
            <w:noWrap/>
            <w:vAlign w:val="center"/>
          </w:tcPr>
          <w:p w14:paraId="72CD9930">
            <w:pPr>
              <w:widowControl/>
              <w:jc w:val="center"/>
              <w:textAlignment w:val="center"/>
              <w:rPr>
                <w:rFonts w:hint="eastAsia" w:ascii="Times New Roman" w:hAnsi="Times New Roman" w:eastAsia="仿宋_GB2312"/>
                <w:color w:val="000000"/>
                <w:kern w:val="0"/>
                <w:sz w:val="24"/>
                <w:highlight w:val="none"/>
                <w:lang w:val="en-US" w:eastAsia="zh-CN"/>
              </w:rPr>
            </w:pPr>
          </w:p>
        </w:tc>
        <w:tc>
          <w:tcPr>
            <w:tcW w:w="720" w:type="pct"/>
            <w:noWrap/>
            <w:vAlign w:val="center"/>
          </w:tcPr>
          <w:p w14:paraId="5E1B1143">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w:t>
            </w:r>
          </w:p>
        </w:tc>
      </w:tr>
    </w:tbl>
    <w:p w14:paraId="5E52E822">
      <w:pPr>
        <w:rPr>
          <w:rFonts w:hint="eastAsia"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eastAsia="zh-CN"/>
        </w:rPr>
        <w:t>附件</w:t>
      </w:r>
      <w:r>
        <w:rPr>
          <w:rFonts w:hint="eastAsia" w:ascii="Times New Roman" w:hAnsi="Times New Roman" w:eastAsia="仿宋_GB2312" w:cs="Times New Roman"/>
          <w:b/>
          <w:bCs/>
          <w:sz w:val="32"/>
          <w:szCs w:val="32"/>
          <w:highlight w:val="none"/>
          <w:lang w:val="en-US" w:eastAsia="zh-CN"/>
        </w:rPr>
        <w:t>3</w:t>
      </w:r>
    </w:p>
    <w:p w14:paraId="2B8A8C69">
      <w:pPr>
        <w:widowControl/>
        <w:spacing w:line="720" w:lineRule="auto"/>
        <w:jc w:val="center"/>
        <w:textAlignment w:val="baseline"/>
        <w:rPr>
          <w:rFonts w:ascii="Times New Roman" w:hAnsi="Times New Roman" w:eastAsia="仿宋_GB2312"/>
          <w:b/>
          <w:color w:val="000000"/>
          <w:sz w:val="36"/>
          <w:szCs w:val="36"/>
          <w:highlight w:val="none"/>
        </w:rPr>
      </w:pPr>
      <w:r>
        <w:rPr>
          <w:rFonts w:hint="eastAsia" w:ascii="仿宋_GB2312" w:hAnsi="Times New Roman" w:eastAsia="仿宋_GB2312"/>
          <w:b/>
          <w:sz w:val="36"/>
          <w:szCs w:val="36"/>
          <w:highlight w:val="none"/>
        </w:rPr>
        <w:t>牡丹江市区</w:t>
      </w:r>
      <w:r>
        <w:rPr>
          <w:rFonts w:hint="eastAsia" w:ascii="仿宋_GB2312" w:hAnsi="Times New Roman" w:eastAsia="仿宋_GB2312"/>
          <w:b/>
          <w:sz w:val="36"/>
          <w:szCs w:val="36"/>
          <w:highlight w:val="none"/>
          <w:lang w:val="en-US" w:eastAsia="zh-CN"/>
        </w:rPr>
        <w:t>农用地</w:t>
      </w:r>
      <w:r>
        <w:rPr>
          <w:rFonts w:ascii="Times New Roman" w:hAnsi="Times New Roman" w:eastAsia="仿宋_GB2312"/>
          <w:b/>
          <w:color w:val="000000"/>
          <w:sz w:val="36"/>
          <w:szCs w:val="36"/>
          <w:highlight w:val="none"/>
        </w:rPr>
        <w:t>土地级别范围表</w:t>
      </w:r>
    </w:p>
    <w:tbl>
      <w:tblPr>
        <w:tblStyle w:val="14"/>
        <w:tblW w:w="51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030"/>
        <w:gridCol w:w="1725"/>
        <w:gridCol w:w="5372"/>
      </w:tblGrid>
      <w:tr w14:paraId="78AD6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404" w:type="pct"/>
            <w:noWrap w:val="0"/>
            <w:vAlign w:val="center"/>
          </w:tcPr>
          <w:p w14:paraId="5CE5DA30">
            <w:pPr>
              <w:widowControl/>
              <w:jc w:val="center"/>
              <w:textAlignment w:val="center"/>
              <w:rPr>
                <w:rFonts w:ascii="Times New Roman" w:hAnsi="Times New Roman" w:eastAsia="仿宋_GB2312"/>
                <w:b/>
                <w:bCs/>
                <w:color w:val="000000"/>
                <w:kern w:val="0"/>
                <w:sz w:val="24"/>
                <w:highlight w:val="none"/>
              </w:rPr>
            </w:pPr>
            <w:r>
              <w:rPr>
                <w:rFonts w:ascii="Times New Roman" w:hAnsi="Times New Roman" w:eastAsia="仿宋_GB2312"/>
                <w:b/>
                <w:bCs/>
                <w:color w:val="000000"/>
                <w:kern w:val="0"/>
                <w:sz w:val="24"/>
                <w:highlight w:val="none"/>
              </w:rPr>
              <w:t>土地级别</w:t>
            </w:r>
          </w:p>
        </w:tc>
        <w:tc>
          <w:tcPr>
            <w:tcW w:w="582" w:type="pct"/>
            <w:noWrap w:val="0"/>
            <w:vAlign w:val="center"/>
          </w:tcPr>
          <w:p w14:paraId="4389A374">
            <w:pPr>
              <w:widowControl/>
              <w:jc w:val="center"/>
              <w:textAlignment w:val="center"/>
              <w:rPr>
                <w:rFonts w:ascii="Times New Roman" w:hAnsi="Times New Roman" w:eastAsia="仿宋_GB2312"/>
                <w:b/>
                <w:bCs/>
                <w:color w:val="000000"/>
                <w:kern w:val="0"/>
                <w:sz w:val="24"/>
                <w:highlight w:val="none"/>
              </w:rPr>
            </w:pPr>
            <w:r>
              <w:rPr>
                <w:rFonts w:ascii="Times New Roman" w:hAnsi="Times New Roman" w:eastAsia="仿宋_GB2312"/>
                <w:b/>
                <w:bCs/>
                <w:color w:val="000000"/>
                <w:kern w:val="0"/>
                <w:sz w:val="24"/>
                <w:highlight w:val="none"/>
              </w:rPr>
              <w:t>区</w:t>
            </w:r>
          </w:p>
        </w:tc>
        <w:tc>
          <w:tcPr>
            <w:tcW w:w="975" w:type="pct"/>
            <w:noWrap w:val="0"/>
            <w:vAlign w:val="center"/>
          </w:tcPr>
          <w:p w14:paraId="611BDE65">
            <w:pPr>
              <w:widowControl/>
              <w:jc w:val="center"/>
              <w:textAlignment w:val="center"/>
              <w:rPr>
                <w:rFonts w:hint="eastAsia" w:ascii="Times New Roman" w:hAnsi="Times New Roman" w:eastAsia="仿宋_GB2312"/>
                <w:b/>
                <w:bCs/>
                <w:color w:val="000000"/>
                <w:kern w:val="0"/>
                <w:sz w:val="24"/>
                <w:highlight w:val="none"/>
                <w:lang w:eastAsia="zh-CN"/>
              </w:rPr>
            </w:pPr>
            <w:r>
              <w:rPr>
                <w:rFonts w:hint="eastAsia" w:ascii="Times New Roman" w:hAnsi="Times New Roman" w:eastAsia="仿宋_GB2312"/>
                <w:b/>
                <w:bCs/>
                <w:color w:val="000000"/>
                <w:kern w:val="0"/>
                <w:sz w:val="24"/>
                <w:highlight w:val="none"/>
                <w:lang w:val="en-US" w:eastAsia="zh-CN"/>
              </w:rPr>
              <w:t>行政区</w:t>
            </w:r>
          </w:p>
        </w:tc>
        <w:tc>
          <w:tcPr>
            <w:tcW w:w="3037" w:type="pct"/>
            <w:noWrap w:val="0"/>
            <w:vAlign w:val="center"/>
          </w:tcPr>
          <w:p w14:paraId="7AF4F47E">
            <w:pPr>
              <w:widowControl/>
              <w:jc w:val="center"/>
              <w:textAlignment w:val="center"/>
              <w:rPr>
                <w:rFonts w:ascii="Times New Roman" w:hAnsi="Times New Roman" w:eastAsia="仿宋_GB2312"/>
                <w:b/>
                <w:bCs/>
                <w:color w:val="000000"/>
                <w:kern w:val="0"/>
                <w:sz w:val="24"/>
                <w:highlight w:val="none"/>
              </w:rPr>
            </w:pPr>
            <w:r>
              <w:rPr>
                <w:rFonts w:ascii="Times New Roman" w:hAnsi="Times New Roman" w:eastAsia="仿宋_GB2312"/>
                <w:b/>
                <w:bCs/>
                <w:color w:val="000000"/>
                <w:kern w:val="0"/>
                <w:sz w:val="24"/>
                <w:highlight w:val="none"/>
              </w:rPr>
              <w:t>行政村</w:t>
            </w:r>
          </w:p>
        </w:tc>
      </w:tr>
      <w:tr w14:paraId="22605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restart"/>
            <w:noWrap w:val="0"/>
            <w:vAlign w:val="center"/>
          </w:tcPr>
          <w:p w14:paraId="3F2A38E9">
            <w:pPr>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Ⅰ</w:t>
            </w:r>
          </w:p>
        </w:tc>
        <w:tc>
          <w:tcPr>
            <w:tcW w:w="582" w:type="pct"/>
            <w:noWrap w:val="0"/>
            <w:vAlign w:val="center"/>
          </w:tcPr>
          <w:p w14:paraId="3FC6D902">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东安区</w:t>
            </w:r>
          </w:p>
        </w:tc>
        <w:tc>
          <w:tcPr>
            <w:tcW w:w="975" w:type="pct"/>
            <w:noWrap w:val="0"/>
            <w:vAlign w:val="center"/>
          </w:tcPr>
          <w:p w14:paraId="66420C2F">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兴隆镇</w:t>
            </w:r>
          </w:p>
        </w:tc>
        <w:tc>
          <w:tcPr>
            <w:tcW w:w="3037" w:type="pct"/>
            <w:noWrap w:val="0"/>
            <w:vAlign w:val="center"/>
          </w:tcPr>
          <w:p w14:paraId="3EC8D66A">
            <w:pPr>
              <w:widowControl/>
              <w:jc w:val="left"/>
              <w:textAlignment w:val="center"/>
              <w:rPr>
                <w:rFonts w:hint="default"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兴隆村、大湾村、江南村、乜河村、下乜河村、中乜河村、胜利村</w:t>
            </w:r>
          </w:p>
        </w:tc>
      </w:tr>
      <w:tr w14:paraId="35A84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49F641C5">
            <w:pPr>
              <w:jc w:val="center"/>
              <w:textAlignment w:val="center"/>
              <w:rPr>
                <w:rFonts w:ascii="Times New Roman" w:hAnsi="Times New Roman" w:eastAsia="仿宋_GB2312"/>
                <w:color w:val="000000"/>
                <w:kern w:val="0"/>
                <w:sz w:val="24"/>
                <w:highlight w:val="none"/>
              </w:rPr>
            </w:pPr>
          </w:p>
        </w:tc>
        <w:tc>
          <w:tcPr>
            <w:tcW w:w="582" w:type="pct"/>
            <w:noWrap w:val="0"/>
            <w:vAlign w:val="center"/>
          </w:tcPr>
          <w:p w14:paraId="7AE7436C">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爱民区</w:t>
            </w:r>
          </w:p>
        </w:tc>
        <w:tc>
          <w:tcPr>
            <w:tcW w:w="975" w:type="pct"/>
            <w:noWrap w:val="0"/>
            <w:vAlign w:val="center"/>
          </w:tcPr>
          <w:p w14:paraId="2D4B446E">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三道关镇</w:t>
            </w:r>
          </w:p>
        </w:tc>
        <w:tc>
          <w:tcPr>
            <w:tcW w:w="3037" w:type="pct"/>
            <w:noWrap w:val="0"/>
            <w:vAlign w:val="center"/>
          </w:tcPr>
          <w:p w14:paraId="2E695ED2">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金龙村、新荣村、平安村</w:t>
            </w:r>
          </w:p>
        </w:tc>
      </w:tr>
      <w:tr w14:paraId="1B462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78A91AE6">
            <w:pPr>
              <w:jc w:val="center"/>
              <w:textAlignment w:val="center"/>
              <w:rPr>
                <w:rFonts w:ascii="Times New Roman" w:hAnsi="Times New Roman" w:eastAsia="仿宋_GB2312"/>
                <w:color w:val="000000"/>
                <w:kern w:val="0"/>
                <w:sz w:val="24"/>
                <w:highlight w:val="none"/>
              </w:rPr>
            </w:pPr>
          </w:p>
        </w:tc>
        <w:tc>
          <w:tcPr>
            <w:tcW w:w="582" w:type="pct"/>
            <w:vMerge w:val="restart"/>
            <w:noWrap w:val="0"/>
            <w:vAlign w:val="center"/>
          </w:tcPr>
          <w:p w14:paraId="74A7CAA5">
            <w:pPr>
              <w:widowControl/>
              <w:jc w:val="center"/>
              <w:textAlignment w:val="center"/>
              <w:rPr>
                <w:rFonts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rPr>
              <w:t>西安区</w:t>
            </w:r>
          </w:p>
        </w:tc>
        <w:tc>
          <w:tcPr>
            <w:tcW w:w="975" w:type="pct"/>
            <w:noWrap w:val="0"/>
            <w:vAlign w:val="center"/>
          </w:tcPr>
          <w:p w14:paraId="2EA96B64">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温春镇</w:t>
            </w:r>
          </w:p>
        </w:tc>
        <w:tc>
          <w:tcPr>
            <w:tcW w:w="3037" w:type="pct"/>
            <w:noWrap w:val="0"/>
            <w:vAlign w:val="center"/>
          </w:tcPr>
          <w:p w14:paraId="3F26827F">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共民村、卡路村、立新村、南江村、西苑村、新安村</w:t>
            </w:r>
          </w:p>
        </w:tc>
      </w:tr>
      <w:tr w14:paraId="7EE25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016C5356">
            <w:pPr>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49C2569F">
            <w:pPr>
              <w:widowControl/>
              <w:jc w:val="center"/>
              <w:textAlignment w:val="center"/>
              <w:rPr>
                <w:rFonts w:hint="eastAsia" w:ascii="Times New Roman" w:hAnsi="Times New Roman" w:eastAsia="仿宋_GB2312"/>
                <w:color w:val="000000"/>
                <w:kern w:val="0"/>
                <w:sz w:val="24"/>
                <w:highlight w:val="none"/>
              </w:rPr>
            </w:pPr>
          </w:p>
        </w:tc>
        <w:tc>
          <w:tcPr>
            <w:tcW w:w="975" w:type="pct"/>
            <w:noWrap w:val="0"/>
            <w:vAlign w:val="center"/>
          </w:tcPr>
          <w:p w14:paraId="006498FE">
            <w:pPr>
              <w:widowControl/>
              <w:jc w:val="center"/>
              <w:textAlignment w:val="center"/>
              <w:rPr>
                <w:rFonts w:hint="default"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海南乡</w:t>
            </w:r>
          </w:p>
        </w:tc>
        <w:tc>
          <w:tcPr>
            <w:tcW w:w="3037" w:type="pct"/>
            <w:noWrap w:val="0"/>
            <w:vAlign w:val="center"/>
          </w:tcPr>
          <w:p w14:paraId="388176DF">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福兴村、红星村、南拉古村</w:t>
            </w:r>
          </w:p>
        </w:tc>
      </w:tr>
      <w:tr w14:paraId="54593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17839CA1">
            <w:pPr>
              <w:jc w:val="center"/>
              <w:textAlignment w:val="center"/>
              <w:rPr>
                <w:rFonts w:ascii="Times New Roman" w:hAnsi="Times New Roman" w:eastAsia="仿宋_GB2312"/>
                <w:color w:val="000000"/>
                <w:kern w:val="0"/>
                <w:sz w:val="24"/>
                <w:highlight w:val="none"/>
              </w:rPr>
            </w:pPr>
          </w:p>
        </w:tc>
        <w:tc>
          <w:tcPr>
            <w:tcW w:w="582" w:type="pct"/>
            <w:noWrap w:val="0"/>
            <w:vAlign w:val="center"/>
          </w:tcPr>
          <w:p w14:paraId="027B1DD1">
            <w:pPr>
              <w:widowControl/>
              <w:jc w:val="center"/>
              <w:textAlignment w:val="center"/>
              <w:rPr>
                <w:rFonts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rPr>
              <w:t>阳明区</w:t>
            </w:r>
          </w:p>
        </w:tc>
        <w:tc>
          <w:tcPr>
            <w:tcW w:w="975" w:type="pct"/>
            <w:noWrap w:val="0"/>
            <w:vAlign w:val="center"/>
          </w:tcPr>
          <w:p w14:paraId="0CE582FE">
            <w:pPr>
              <w:widowControl/>
              <w:jc w:val="center"/>
              <w:textAlignment w:val="center"/>
              <w:rPr>
                <w:rFonts w:hint="eastAsia" w:ascii="Times New Roman" w:hAnsi="Times New Roman" w:eastAsia="仿宋_GB2312"/>
                <w:color w:val="000000"/>
                <w:kern w:val="0"/>
                <w:sz w:val="24"/>
                <w:highlight w:val="none"/>
              </w:rPr>
            </w:pPr>
            <w:r>
              <w:rPr>
                <w:rFonts w:hint="eastAsia" w:ascii="Times New Roman" w:hAnsi="Times New Roman" w:eastAsia="仿宋_GB2312"/>
                <w:color w:val="000000"/>
                <w:kern w:val="0"/>
                <w:sz w:val="24"/>
                <w:szCs w:val="24"/>
                <w:highlight w:val="none"/>
                <w:lang w:eastAsia="zh-CN"/>
              </w:rPr>
              <w:t>街道（办事处）</w:t>
            </w:r>
          </w:p>
        </w:tc>
        <w:tc>
          <w:tcPr>
            <w:tcW w:w="3037" w:type="pct"/>
            <w:noWrap w:val="0"/>
            <w:vAlign w:val="center"/>
          </w:tcPr>
          <w:p w14:paraId="58D8B1D2">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阳明村、东江村、镇江村、裕民村</w:t>
            </w:r>
          </w:p>
        </w:tc>
      </w:tr>
      <w:tr w14:paraId="32723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restart"/>
            <w:noWrap w:val="0"/>
            <w:vAlign w:val="center"/>
          </w:tcPr>
          <w:p w14:paraId="4CB50221">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Ⅱ</w:t>
            </w:r>
          </w:p>
        </w:tc>
        <w:tc>
          <w:tcPr>
            <w:tcW w:w="582" w:type="pct"/>
            <w:noWrap w:val="0"/>
            <w:vAlign w:val="center"/>
          </w:tcPr>
          <w:p w14:paraId="209C249C">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东安区</w:t>
            </w:r>
          </w:p>
        </w:tc>
        <w:tc>
          <w:tcPr>
            <w:tcW w:w="975" w:type="pct"/>
            <w:noWrap w:val="0"/>
            <w:vAlign w:val="center"/>
          </w:tcPr>
          <w:p w14:paraId="25794A8C">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兴隆镇</w:t>
            </w:r>
          </w:p>
        </w:tc>
        <w:tc>
          <w:tcPr>
            <w:tcW w:w="3037" w:type="pct"/>
            <w:noWrap w:val="0"/>
            <w:vAlign w:val="center"/>
          </w:tcPr>
          <w:p w14:paraId="7ECE9E6F">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大团村、东村村、东胜村、河西村、桥头村、跃进村</w:t>
            </w:r>
          </w:p>
        </w:tc>
      </w:tr>
      <w:tr w14:paraId="0CC9D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046EC756">
            <w:pPr>
              <w:widowControl/>
              <w:jc w:val="center"/>
              <w:textAlignment w:val="center"/>
              <w:rPr>
                <w:rFonts w:ascii="Times New Roman" w:hAnsi="Times New Roman" w:eastAsia="仿宋_GB2312"/>
                <w:color w:val="000000"/>
                <w:kern w:val="0"/>
                <w:sz w:val="24"/>
                <w:highlight w:val="none"/>
              </w:rPr>
            </w:pPr>
          </w:p>
        </w:tc>
        <w:tc>
          <w:tcPr>
            <w:tcW w:w="582" w:type="pct"/>
            <w:noWrap w:val="0"/>
            <w:vAlign w:val="center"/>
          </w:tcPr>
          <w:p w14:paraId="4123BCB0">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爱民区</w:t>
            </w:r>
          </w:p>
        </w:tc>
        <w:tc>
          <w:tcPr>
            <w:tcW w:w="975" w:type="pct"/>
            <w:noWrap w:val="0"/>
            <w:vAlign w:val="center"/>
          </w:tcPr>
          <w:p w14:paraId="7AF2162D">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三道关镇</w:t>
            </w:r>
          </w:p>
        </w:tc>
        <w:tc>
          <w:tcPr>
            <w:tcW w:w="3037" w:type="pct"/>
            <w:noWrap w:val="0"/>
            <w:vAlign w:val="center"/>
          </w:tcPr>
          <w:p w14:paraId="31B2016D">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八达村、北安村、大砬子村、放牛村、丰收村、江西村、前进村、银龙村、北安林场、中牧集团牡丹江军马场</w:t>
            </w:r>
          </w:p>
        </w:tc>
      </w:tr>
      <w:tr w14:paraId="3F1F4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283A16D0">
            <w:pPr>
              <w:widowControl/>
              <w:jc w:val="center"/>
              <w:textAlignment w:val="center"/>
              <w:rPr>
                <w:rFonts w:ascii="Times New Roman" w:hAnsi="Times New Roman" w:eastAsia="仿宋_GB2312"/>
                <w:color w:val="000000"/>
                <w:kern w:val="0"/>
                <w:sz w:val="24"/>
                <w:highlight w:val="none"/>
              </w:rPr>
            </w:pPr>
          </w:p>
        </w:tc>
        <w:tc>
          <w:tcPr>
            <w:tcW w:w="582" w:type="pct"/>
            <w:vMerge w:val="restart"/>
            <w:noWrap w:val="0"/>
            <w:vAlign w:val="center"/>
          </w:tcPr>
          <w:p w14:paraId="0E2D9E80">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西安区</w:t>
            </w:r>
          </w:p>
        </w:tc>
        <w:tc>
          <w:tcPr>
            <w:tcW w:w="975" w:type="pct"/>
            <w:noWrap w:val="0"/>
            <w:vAlign w:val="center"/>
          </w:tcPr>
          <w:p w14:paraId="6DB7E495">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温春镇</w:t>
            </w:r>
          </w:p>
        </w:tc>
        <w:tc>
          <w:tcPr>
            <w:tcW w:w="3037" w:type="pct"/>
            <w:noWrap w:val="0"/>
            <w:vAlign w:val="center"/>
          </w:tcPr>
          <w:p w14:paraId="64E51563">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敖东村、大莫村、海浪村、黑山村、烧锅村、温春村、小莫村、新立村</w:t>
            </w:r>
          </w:p>
        </w:tc>
      </w:tr>
      <w:tr w14:paraId="37891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0C38831C">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251C3539">
            <w:pPr>
              <w:widowControl/>
              <w:jc w:val="center"/>
              <w:textAlignment w:val="center"/>
              <w:rPr>
                <w:rFonts w:ascii="Times New Roman" w:hAnsi="Times New Roman" w:eastAsia="仿宋_GB2312"/>
                <w:color w:val="000000"/>
                <w:kern w:val="0"/>
                <w:sz w:val="24"/>
                <w:highlight w:val="none"/>
              </w:rPr>
            </w:pPr>
          </w:p>
        </w:tc>
        <w:tc>
          <w:tcPr>
            <w:tcW w:w="975" w:type="pct"/>
            <w:noWrap w:val="0"/>
            <w:vAlign w:val="center"/>
          </w:tcPr>
          <w:p w14:paraId="58C8F372">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海南乡</w:t>
            </w:r>
          </w:p>
        </w:tc>
        <w:tc>
          <w:tcPr>
            <w:tcW w:w="3037" w:type="pct"/>
            <w:noWrap w:val="0"/>
            <w:vAlign w:val="center"/>
          </w:tcPr>
          <w:p w14:paraId="68154707">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北拉古村、河夹村、红旗村、拉南村、沙虎村、山河村、石头沟村、中兴村、海南林场</w:t>
            </w:r>
          </w:p>
        </w:tc>
      </w:tr>
      <w:tr w14:paraId="54A8E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6AF4900B">
            <w:pPr>
              <w:widowControl/>
              <w:jc w:val="center"/>
              <w:textAlignment w:val="center"/>
              <w:rPr>
                <w:rFonts w:ascii="Times New Roman" w:hAnsi="Times New Roman" w:eastAsia="仿宋_GB2312"/>
                <w:color w:val="000000"/>
                <w:kern w:val="0"/>
                <w:sz w:val="24"/>
                <w:highlight w:val="none"/>
              </w:rPr>
            </w:pPr>
          </w:p>
        </w:tc>
        <w:tc>
          <w:tcPr>
            <w:tcW w:w="582" w:type="pct"/>
            <w:vMerge w:val="restart"/>
            <w:noWrap w:val="0"/>
            <w:vAlign w:val="center"/>
          </w:tcPr>
          <w:p w14:paraId="47841D37">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阳明区</w:t>
            </w:r>
          </w:p>
        </w:tc>
        <w:tc>
          <w:tcPr>
            <w:tcW w:w="975" w:type="pct"/>
            <w:noWrap w:val="0"/>
            <w:vAlign w:val="center"/>
          </w:tcPr>
          <w:p w14:paraId="4D2C13B4">
            <w:pPr>
              <w:widowControl/>
              <w:jc w:val="center"/>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铁岭镇</w:t>
            </w:r>
          </w:p>
        </w:tc>
        <w:tc>
          <w:tcPr>
            <w:tcW w:w="3037" w:type="pct"/>
            <w:noWrap w:val="0"/>
            <w:vAlign w:val="center"/>
          </w:tcPr>
          <w:p w14:paraId="4EE21231">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一村、二村、三村、东新村、青梅村</w:t>
            </w:r>
          </w:p>
        </w:tc>
      </w:tr>
      <w:tr w14:paraId="59F69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112D8DE0">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04925A85">
            <w:pPr>
              <w:widowControl/>
              <w:jc w:val="center"/>
              <w:textAlignment w:val="center"/>
              <w:rPr>
                <w:rFonts w:ascii="Times New Roman" w:hAnsi="Times New Roman" w:eastAsia="仿宋_GB2312"/>
                <w:color w:val="000000"/>
                <w:kern w:val="0"/>
                <w:sz w:val="24"/>
                <w:highlight w:val="none"/>
              </w:rPr>
            </w:pPr>
          </w:p>
        </w:tc>
        <w:tc>
          <w:tcPr>
            <w:tcW w:w="975" w:type="pct"/>
            <w:noWrap w:val="0"/>
            <w:vAlign w:val="center"/>
          </w:tcPr>
          <w:p w14:paraId="0A01A63D">
            <w:pPr>
              <w:widowControl/>
              <w:jc w:val="center"/>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桦林镇</w:t>
            </w:r>
          </w:p>
        </w:tc>
        <w:tc>
          <w:tcPr>
            <w:tcW w:w="3037" w:type="pct"/>
            <w:noWrap w:val="0"/>
            <w:vAlign w:val="center"/>
          </w:tcPr>
          <w:p w14:paraId="11C72A0A">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临江村、互利村、桦林村、工农村</w:t>
            </w:r>
          </w:p>
        </w:tc>
      </w:tr>
      <w:tr w14:paraId="05590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19584D03">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1FC5230F">
            <w:pPr>
              <w:widowControl/>
              <w:jc w:val="center"/>
              <w:textAlignment w:val="center"/>
              <w:rPr>
                <w:rFonts w:ascii="Times New Roman" w:hAnsi="Times New Roman" w:eastAsia="仿宋_GB2312"/>
                <w:color w:val="000000"/>
                <w:kern w:val="0"/>
                <w:sz w:val="24"/>
                <w:highlight w:val="none"/>
              </w:rPr>
            </w:pPr>
          </w:p>
        </w:tc>
        <w:tc>
          <w:tcPr>
            <w:tcW w:w="975" w:type="pct"/>
            <w:noWrap w:val="0"/>
            <w:vAlign w:val="center"/>
          </w:tcPr>
          <w:p w14:paraId="16D21458">
            <w:pPr>
              <w:widowControl/>
              <w:jc w:val="center"/>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五林镇</w:t>
            </w:r>
          </w:p>
        </w:tc>
        <w:tc>
          <w:tcPr>
            <w:tcW w:w="3037" w:type="pct"/>
            <w:noWrap w:val="0"/>
            <w:vAlign w:val="center"/>
          </w:tcPr>
          <w:p w14:paraId="1E3303F8">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青西村、大兴村、长兴村</w:t>
            </w:r>
          </w:p>
        </w:tc>
      </w:tr>
      <w:tr w14:paraId="6987F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38EE600C">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25B6D1D0">
            <w:pPr>
              <w:widowControl/>
              <w:jc w:val="center"/>
              <w:textAlignment w:val="center"/>
              <w:rPr>
                <w:rFonts w:ascii="Times New Roman" w:hAnsi="Times New Roman" w:eastAsia="仿宋_GB2312"/>
                <w:color w:val="000000"/>
                <w:kern w:val="0"/>
                <w:sz w:val="24"/>
                <w:highlight w:val="none"/>
              </w:rPr>
            </w:pPr>
          </w:p>
        </w:tc>
        <w:tc>
          <w:tcPr>
            <w:tcW w:w="975" w:type="pct"/>
            <w:noWrap w:val="0"/>
            <w:vAlign w:val="center"/>
          </w:tcPr>
          <w:p w14:paraId="6CEAC828">
            <w:pPr>
              <w:widowControl/>
              <w:jc w:val="center"/>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磨刀石镇</w:t>
            </w:r>
          </w:p>
        </w:tc>
        <w:tc>
          <w:tcPr>
            <w:tcW w:w="3037" w:type="pct"/>
            <w:noWrap w:val="0"/>
            <w:vAlign w:val="center"/>
          </w:tcPr>
          <w:p w14:paraId="6E498473">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清平村、前进村、红星村、远景村、金星村</w:t>
            </w:r>
          </w:p>
        </w:tc>
      </w:tr>
      <w:tr w14:paraId="0D2CF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restart"/>
            <w:noWrap w:val="0"/>
            <w:vAlign w:val="center"/>
          </w:tcPr>
          <w:p w14:paraId="4FF39C37">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Ⅲ</w:t>
            </w:r>
          </w:p>
        </w:tc>
        <w:tc>
          <w:tcPr>
            <w:tcW w:w="582" w:type="pct"/>
            <w:vMerge w:val="restart"/>
            <w:noWrap w:val="0"/>
            <w:vAlign w:val="center"/>
          </w:tcPr>
          <w:p w14:paraId="31568859">
            <w:pPr>
              <w:widowControl/>
              <w:jc w:val="center"/>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东安区</w:t>
            </w:r>
          </w:p>
        </w:tc>
        <w:tc>
          <w:tcPr>
            <w:tcW w:w="975" w:type="pct"/>
            <w:noWrap w:val="0"/>
            <w:vAlign w:val="center"/>
          </w:tcPr>
          <w:p w14:paraId="4D497F17">
            <w:pPr>
              <w:widowControl/>
              <w:jc w:val="center"/>
              <w:textAlignment w:val="center"/>
              <w:rPr>
                <w:rFonts w:hint="default"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兴隆镇</w:t>
            </w:r>
          </w:p>
        </w:tc>
        <w:tc>
          <w:tcPr>
            <w:tcW w:w="3037" w:type="pct"/>
            <w:noWrap w:val="0"/>
            <w:vAlign w:val="center"/>
          </w:tcPr>
          <w:p w14:paraId="6DA391F9">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除一、二级地以外所辖范围内农用地</w:t>
            </w:r>
          </w:p>
        </w:tc>
      </w:tr>
      <w:tr w14:paraId="06056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6ADA2808">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2A653162">
            <w:pPr>
              <w:widowControl/>
              <w:jc w:val="center"/>
              <w:textAlignment w:val="center"/>
              <w:rPr>
                <w:rFonts w:hint="eastAsia" w:ascii="Times New Roman" w:hAnsi="Times New Roman" w:eastAsia="仿宋_GB2312"/>
                <w:color w:val="000000"/>
                <w:kern w:val="0"/>
                <w:sz w:val="24"/>
                <w:highlight w:val="none"/>
                <w:lang w:val="en-US" w:eastAsia="zh-CN"/>
              </w:rPr>
            </w:pPr>
          </w:p>
        </w:tc>
        <w:tc>
          <w:tcPr>
            <w:tcW w:w="975" w:type="pct"/>
            <w:noWrap w:val="0"/>
            <w:vAlign w:val="center"/>
          </w:tcPr>
          <w:p w14:paraId="10DFE3F2">
            <w:pPr>
              <w:widowControl/>
              <w:jc w:val="center"/>
              <w:textAlignment w:val="center"/>
              <w:rPr>
                <w:rFonts w:hint="default"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原森工林业局</w:t>
            </w:r>
          </w:p>
        </w:tc>
        <w:tc>
          <w:tcPr>
            <w:tcW w:w="3037" w:type="pct"/>
            <w:noWrap w:val="0"/>
            <w:vAlign w:val="center"/>
          </w:tcPr>
          <w:p w14:paraId="65127967">
            <w:pPr>
              <w:widowControl/>
              <w:jc w:val="left"/>
              <w:textAlignment w:val="center"/>
              <w:rPr>
                <w:rFonts w:hint="default"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穆棱林业局</w:t>
            </w:r>
          </w:p>
        </w:tc>
      </w:tr>
      <w:tr w14:paraId="69EF2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3B7A1E67">
            <w:pPr>
              <w:widowControl/>
              <w:jc w:val="center"/>
              <w:textAlignment w:val="center"/>
              <w:rPr>
                <w:rFonts w:ascii="Times New Roman" w:hAnsi="Times New Roman" w:eastAsia="仿宋_GB2312"/>
                <w:color w:val="000000"/>
                <w:kern w:val="0"/>
                <w:sz w:val="24"/>
                <w:highlight w:val="none"/>
              </w:rPr>
            </w:pPr>
          </w:p>
        </w:tc>
        <w:tc>
          <w:tcPr>
            <w:tcW w:w="582" w:type="pct"/>
            <w:noWrap w:val="0"/>
            <w:vAlign w:val="center"/>
          </w:tcPr>
          <w:p w14:paraId="3C2F4B21">
            <w:pPr>
              <w:widowControl/>
              <w:jc w:val="center"/>
              <w:textAlignment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olor w:val="000000"/>
                <w:kern w:val="0"/>
                <w:sz w:val="24"/>
                <w:highlight w:val="none"/>
              </w:rPr>
              <w:t>爱民区</w:t>
            </w:r>
          </w:p>
        </w:tc>
        <w:tc>
          <w:tcPr>
            <w:tcW w:w="975" w:type="pct"/>
            <w:noWrap w:val="0"/>
            <w:vAlign w:val="center"/>
          </w:tcPr>
          <w:p w14:paraId="64C00A73">
            <w:pPr>
              <w:widowControl/>
              <w:jc w:val="center"/>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三道关镇</w:t>
            </w:r>
          </w:p>
        </w:tc>
        <w:tc>
          <w:tcPr>
            <w:tcW w:w="3037" w:type="pct"/>
            <w:noWrap w:val="0"/>
            <w:vAlign w:val="center"/>
          </w:tcPr>
          <w:p w14:paraId="033C2FAB">
            <w:pPr>
              <w:widowControl/>
              <w:jc w:val="left"/>
              <w:textAlignment w:val="center"/>
              <w:rPr>
                <w:rFonts w:hint="eastAsia"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除一、二级地以外所辖范围内农用地</w:t>
            </w:r>
          </w:p>
        </w:tc>
      </w:tr>
      <w:tr w14:paraId="7154F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522D9E15">
            <w:pPr>
              <w:widowControl/>
              <w:jc w:val="center"/>
              <w:textAlignment w:val="center"/>
              <w:rPr>
                <w:rFonts w:ascii="Times New Roman" w:hAnsi="Times New Roman" w:eastAsia="仿宋_GB2312"/>
                <w:color w:val="000000"/>
                <w:kern w:val="0"/>
                <w:sz w:val="24"/>
                <w:highlight w:val="none"/>
              </w:rPr>
            </w:pPr>
          </w:p>
        </w:tc>
        <w:tc>
          <w:tcPr>
            <w:tcW w:w="582" w:type="pct"/>
            <w:noWrap w:val="0"/>
            <w:vAlign w:val="center"/>
          </w:tcPr>
          <w:p w14:paraId="4910D313">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西安区</w:t>
            </w:r>
          </w:p>
        </w:tc>
        <w:tc>
          <w:tcPr>
            <w:tcW w:w="975" w:type="pct"/>
            <w:noWrap w:val="0"/>
            <w:vAlign w:val="center"/>
          </w:tcPr>
          <w:p w14:paraId="105B8F7C">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温春镇</w:t>
            </w:r>
          </w:p>
        </w:tc>
        <w:tc>
          <w:tcPr>
            <w:tcW w:w="3037" w:type="pct"/>
            <w:noWrap w:val="0"/>
            <w:vAlign w:val="center"/>
          </w:tcPr>
          <w:p w14:paraId="722F7054">
            <w:pPr>
              <w:widowControl/>
              <w:jc w:val="left"/>
              <w:textAlignment w:val="center"/>
              <w:rPr>
                <w:rFonts w:hint="eastAsia" w:ascii="Times New Roman" w:hAnsi="Times New Roman" w:eastAsia="仿宋_GB2312"/>
                <w:color w:val="000000"/>
                <w:kern w:val="0"/>
                <w:sz w:val="24"/>
                <w:highlight w:val="none"/>
              </w:rPr>
            </w:pPr>
            <w:r>
              <w:rPr>
                <w:rFonts w:hint="eastAsia" w:ascii="Times New Roman" w:hAnsi="Times New Roman" w:eastAsia="仿宋_GB2312"/>
                <w:color w:val="000000"/>
                <w:kern w:val="0"/>
                <w:sz w:val="24"/>
                <w:highlight w:val="none"/>
                <w:lang w:val="en-US" w:eastAsia="zh-CN"/>
              </w:rPr>
              <w:t>除一、二级地以外所辖范围内农用地</w:t>
            </w:r>
          </w:p>
        </w:tc>
      </w:tr>
      <w:tr w14:paraId="08E1E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30B124B9">
            <w:pPr>
              <w:widowControl/>
              <w:jc w:val="center"/>
              <w:textAlignment w:val="center"/>
              <w:rPr>
                <w:rFonts w:ascii="Times New Roman" w:hAnsi="Times New Roman" w:eastAsia="仿宋_GB2312"/>
                <w:color w:val="000000"/>
                <w:kern w:val="0"/>
                <w:sz w:val="24"/>
                <w:highlight w:val="none"/>
              </w:rPr>
            </w:pPr>
          </w:p>
        </w:tc>
        <w:tc>
          <w:tcPr>
            <w:tcW w:w="582" w:type="pct"/>
            <w:vMerge w:val="restart"/>
            <w:noWrap w:val="0"/>
            <w:vAlign w:val="center"/>
          </w:tcPr>
          <w:p w14:paraId="7BE101F3">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阳明区</w:t>
            </w:r>
          </w:p>
        </w:tc>
        <w:tc>
          <w:tcPr>
            <w:tcW w:w="975" w:type="pct"/>
            <w:noWrap w:val="0"/>
            <w:vAlign w:val="center"/>
          </w:tcPr>
          <w:p w14:paraId="162511B3">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铁岭镇</w:t>
            </w:r>
          </w:p>
        </w:tc>
        <w:tc>
          <w:tcPr>
            <w:tcW w:w="3037" w:type="pct"/>
            <w:noWrap w:val="0"/>
            <w:vAlign w:val="center"/>
          </w:tcPr>
          <w:p w14:paraId="6E41BBC5">
            <w:pPr>
              <w:widowControl/>
              <w:jc w:val="left"/>
              <w:textAlignment w:val="center"/>
              <w:rPr>
                <w:rFonts w:hint="eastAsia" w:ascii="Times New Roman" w:hAnsi="Times New Roman" w:eastAsia="仿宋_GB2312" w:cs="Times New Roman"/>
                <w:color w:val="000000"/>
                <w:kern w:val="0"/>
                <w:sz w:val="24"/>
                <w:szCs w:val="24"/>
                <w:highlight w:val="none"/>
                <w:lang w:val="en-US" w:eastAsia="zh-CN" w:bidi="ar-SA"/>
              </w:rPr>
            </w:pPr>
            <w:r>
              <w:rPr>
                <w:rFonts w:hint="eastAsia" w:ascii="Times New Roman" w:hAnsi="Times New Roman" w:eastAsia="仿宋_GB2312"/>
                <w:color w:val="000000"/>
                <w:kern w:val="0"/>
                <w:sz w:val="24"/>
                <w:highlight w:val="none"/>
                <w:lang w:val="en-US" w:eastAsia="zh-CN"/>
              </w:rPr>
              <w:t>除二级地以外所辖范围内农用地</w:t>
            </w:r>
          </w:p>
        </w:tc>
      </w:tr>
      <w:tr w14:paraId="7C015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5FDF97D6">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0E749A20">
            <w:pPr>
              <w:widowControl/>
              <w:jc w:val="center"/>
              <w:textAlignment w:val="center"/>
              <w:rPr>
                <w:rFonts w:ascii="Times New Roman" w:hAnsi="Times New Roman" w:eastAsia="仿宋_GB2312"/>
                <w:color w:val="000000"/>
                <w:kern w:val="0"/>
                <w:sz w:val="24"/>
                <w:highlight w:val="none"/>
              </w:rPr>
            </w:pPr>
          </w:p>
        </w:tc>
        <w:tc>
          <w:tcPr>
            <w:tcW w:w="975" w:type="pct"/>
            <w:noWrap w:val="0"/>
            <w:vAlign w:val="center"/>
          </w:tcPr>
          <w:p w14:paraId="0496E140">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桦林镇</w:t>
            </w:r>
          </w:p>
        </w:tc>
        <w:tc>
          <w:tcPr>
            <w:tcW w:w="3037" w:type="pct"/>
            <w:noWrap w:val="0"/>
            <w:vAlign w:val="center"/>
          </w:tcPr>
          <w:p w14:paraId="7374F360">
            <w:pPr>
              <w:widowControl/>
              <w:jc w:val="left"/>
              <w:textAlignment w:val="center"/>
              <w:rPr>
                <w:rFonts w:hint="eastAsia" w:ascii="Times New Roman" w:hAnsi="Times New Roman" w:eastAsia="仿宋_GB2312" w:cs="Times New Roman"/>
                <w:color w:val="000000"/>
                <w:kern w:val="0"/>
                <w:sz w:val="24"/>
                <w:szCs w:val="24"/>
                <w:highlight w:val="none"/>
                <w:lang w:val="en-US" w:eastAsia="zh-CN" w:bidi="ar-SA"/>
              </w:rPr>
            </w:pPr>
            <w:r>
              <w:rPr>
                <w:rFonts w:hint="eastAsia" w:ascii="Times New Roman" w:hAnsi="Times New Roman" w:eastAsia="仿宋_GB2312"/>
                <w:color w:val="000000"/>
                <w:kern w:val="0"/>
                <w:sz w:val="24"/>
                <w:highlight w:val="none"/>
                <w:lang w:val="en-US" w:eastAsia="zh-CN"/>
              </w:rPr>
              <w:t>除二级地以外所辖范围内农用地</w:t>
            </w:r>
          </w:p>
        </w:tc>
      </w:tr>
      <w:tr w14:paraId="54BA9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38329AB5">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0F647629">
            <w:pPr>
              <w:widowControl/>
              <w:jc w:val="center"/>
              <w:textAlignment w:val="center"/>
              <w:rPr>
                <w:rFonts w:ascii="Times New Roman" w:hAnsi="Times New Roman" w:eastAsia="仿宋_GB2312"/>
                <w:color w:val="000000"/>
                <w:kern w:val="0"/>
                <w:sz w:val="24"/>
                <w:highlight w:val="none"/>
              </w:rPr>
            </w:pPr>
          </w:p>
        </w:tc>
        <w:tc>
          <w:tcPr>
            <w:tcW w:w="975" w:type="pct"/>
            <w:noWrap w:val="0"/>
            <w:vAlign w:val="center"/>
          </w:tcPr>
          <w:p w14:paraId="4D8D58A7">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五林镇</w:t>
            </w:r>
          </w:p>
        </w:tc>
        <w:tc>
          <w:tcPr>
            <w:tcW w:w="3037" w:type="pct"/>
            <w:noWrap w:val="0"/>
            <w:vAlign w:val="center"/>
          </w:tcPr>
          <w:p w14:paraId="5EEA45EA">
            <w:pPr>
              <w:widowControl/>
              <w:jc w:val="left"/>
              <w:textAlignment w:val="center"/>
              <w:rPr>
                <w:rFonts w:hint="eastAsia" w:ascii="Times New Roman" w:hAnsi="Times New Roman" w:eastAsia="仿宋_GB2312" w:cs="Times New Roman"/>
                <w:color w:val="000000"/>
                <w:kern w:val="0"/>
                <w:sz w:val="24"/>
                <w:szCs w:val="24"/>
                <w:highlight w:val="none"/>
                <w:lang w:val="en-US" w:eastAsia="zh-CN" w:bidi="ar-SA"/>
              </w:rPr>
            </w:pPr>
            <w:r>
              <w:rPr>
                <w:rFonts w:hint="eastAsia" w:ascii="Times New Roman" w:hAnsi="Times New Roman" w:eastAsia="仿宋_GB2312"/>
                <w:color w:val="000000"/>
                <w:kern w:val="0"/>
                <w:sz w:val="24"/>
                <w:highlight w:val="none"/>
                <w:lang w:val="en-US" w:eastAsia="zh-CN"/>
              </w:rPr>
              <w:t>除二级地以外所辖范围内农用地</w:t>
            </w:r>
          </w:p>
        </w:tc>
      </w:tr>
      <w:tr w14:paraId="38428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71C14206">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4A5DD1B9">
            <w:pPr>
              <w:widowControl/>
              <w:jc w:val="center"/>
              <w:textAlignment w:val="center"/>
              <w:rPr>
                <w:rFonts w:ascii="Times New Roman" w:hAnsi="Times New Roman" w:eastAsia="仿宋_GB2312"/>
                <w:color w:val="000000"/>
                <w:kern w:val="0"/>
                <w:sz w:val="24"/>
                <w:highlight w:val="none"/>
              </w:rPr>
            </w:pPr>
          </w:p>
        </w:tc>
        <w:tc>
          <w:tcPr>
            <w:tcW w:w="975" w:type="pct"/>
            <w:noWrap w:val="0"/>
            <w:vAlign w:val="center"/>
          </w:tcPr>
          <w:p w14:paraId="2A368C4D">
            <w:pPr>
              <w:widowControl/>
              <w:jc w:val="center"/>
              <w:textAlignment w:val="center"/>
              <w:rPr>
                <w:rFonts w:ascii="Times New Roman" w:hAnsi="Times New Roman" w:eastAsia="仿宋_GB2312"/>
                <w:color w:val="000000"/>
                <w:kern w:val="0"/>
                <w:sz w:val="24"/>
                <w:highlight w:val="none"/>
              </w:rPr>
            </w:pPr>
            <w:r>
              <w:rPr>
                <w:rFonts w:ascii="Times New Roman" w:hAnsi="Times New Roman" w:eastAsia="仿宋_GB2312"/>
                <w:color w:val="000000"/>
                <w:kern w:val="0"/>
                <w:sz w:val="24"/>
                <w:highlight w:val="none"/>
              </w:rPr>
              <w:t>磨刀石镇</w:t>
            </w:r>
          </w:p>
        </w:tc>
        <w:tc>
          <w:tcPr>
            <w:tcW w:w="3037" w:type="pct"/>
            <w:noWrap w:val="0"/>
            <w:vAlign w:val="center"/>
          </w:tcPr>
          <w:p w14:paraId="2077BE2C">
            <w:pPr>
              <w:widowControl/>
              <w:jc w:val="left"/>
              <w:textAlignment w:val="center"/>
              <w:rPr>
                <w:rFonts w:hint="eastAsia" w:ascii="Times New Roman" w:hAnsi="Times New Roman" w:eastAsia="仿宋_GB2312" w:cs="Times New Roman"/>
                <w:color w:val="000000"/>
                <w:kern w:val="0"/>
                <w:sz w:val="24"/>
                <w:szCs w:val="24"/>
                <w:highlight w:val="none"/>
                <w:lang w:val="en-US" w:eastAsia="zh-CN" w:bidi="ar-SA"/>
              </w:rPr>
            </w:pPr>
            <w:r>
              <w:rPr>
                <w:rFonts w:hint="eastAsia" w:ascii="Times New Roman" w:hAnsi="Times New Roman" w:eastAsia="仿宋_GB2312"/>
                <w:color w:val="000000"/>
                <w:kern w:val="0"/>
                <w:sz w:val="24"/>
                <w:highlight w:val="none"/>
                <w:lang w:val="en-US" w:eastAsia="zh-CN"/>
              </w:rPr>
              <w:t>除二级地以外所辖范围内农用地</w:t>
            </w:r>
          </w:p>
        </w:tc>
      </w:tr>
      <w:tr w14:paraId="07384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continue"/>
            <w:noWrap w:val="0"/>
            <w:vAlign w:val="center"/>
          </w:tcPr>
          <w:p w14:paraId="633B7C63">
            <w:pPr>
              <w:widowControl/>
              <w:jc w:val="center"/>
              <w:textAlignment w:val="center"/>
              <w:rPr>
                <w:rFonts w:ascii="Times New Roman" w:hAnsi="Times New Roman" w:eastAsia="仿宋_GB2312"/>
                <w:color w:val="000000"/>
                <w:kern w:val="0"/>
                <w:sz w:val="24"/>
                <w:highlight w:val="none"/>
              </w:rPr>
            </w:pPr>
          </w:p>
        </w:tc>
        <w:tc>
          <w:tcPr>
            <w:tcW w:w="582" w:type="pct"/>
            <w:vMerge w:val="continue"/>
            <w:noWrap w:val="0"/>
            <w:vAlign w:val="center"/>
          </w:tcPr>
          <w:p w14:paraId="12E00DC3">
            <w:pPr>
              <w:widowControl/>
              <w:jc w:val="center"/>
              <w:textAlignment w:val="center"/>
              <w:rPr>
                <w:rFonts w:ascii="Times New Roman" w:hAnsi="Times New Roman" w:eastAsia="仿宋_GB2312"/>
                <w:color w:val="000000"/>
                <w:kern w:val="0"/>
                <w:sz w:val="24"/>
                <w:highlight w:val="none"/>
              </w:rPr>
            </w:pPr>
          </w:p>
        </w:tc>
        <w:tc>
          <w:tcPr>
            <w:tcW w:w="975" w:type="pct"/>
            <w:noWrap w:val="0"/>
            <w:vAlign w:val="center"/>
          </w:tcPr>
          <w:p w14:paraId="3AF5BB80">
            <w:pPr>
              <w:widowControl/>
              <w:jc w:val="center"/>
              <w:textAlignment w:val="center"/>
              <w:rPr>
                <w:rFonts w:hint="default" w:ascii="Times New Roman" w:hAnsi="Times New Roman" w:eastAsia="仿宋_GB2312" w:cs="Times New Roman"/>
                <w:color w:val="000000"/>
                <w:kern w:val="0"/>
                <w:sz w:val="24"/>
                <w:szCs w:val="24"/>
                <w:highlight w:val="none"/>
                <w:lang w:val="en-US" w:eastAsia="zh-CN" w:bidi="ar-SA"/>
              </w:rPr>
            </w:pPr>
            <w:r>
              <w:rPr>
                <w:rFonts w:hint="eastAsia" w:ascii="Times New Roman" w:hAnsi="Times New Roman" w:eastAsia="仿宋_GB2312"/>
                <w:color w:val="000000"/>
                <w:kern w:val="0"/>
                <w:sz w:val="24"/>
                <w:highlight w:val="none"/>
                <w:lang w:val="en-US" w:eastAsia="zh-CN"/>
              </w:rPr>
              <w:t>原森工林业局</w:t>
            </w:r>
          </w:p>
        </w:tc>
        <w:tc>
          <w:tcPr>
            <w:tcW w:w="3037" w:type="pct"/>
            <w:noWrap w:val="0"/>
            <w:vAlign w:val="center"/>
          </w:tcPr>
          <w:p w14:paraId="73583BC4">
            <w:pPr>
              <w:widowControl/>
              <w:jc w:val="left"/>
              <w:textAlignment w:val="center"/>
              <w:rPr>
                <w:rFonts w:hint="default" w:ascii="Times New Roman" w:hAnsi="Times New Roman" w:eastAsia="仿宋_GB2312"/>
                <w:color w:val="000000"/>
                <w:kern w:val="0"/>
                <w:sz w:val="24"/>
                <w:highlight w:val="none"/>
                <w:lang w:val="en-US" w:eastAsia="zh-CN"/>
              </w:rPr>
            </w:pPr>
            <w:r>
              <w:rPr>
                <w:rFonts w:hint="eastAsia" w:ascii="Times New Roman" w:hAnsi="Times New Roman" w:eastAsia="仿宋_GB2312"/>
                <w:color w:val="000000"/>
                <w:kern w:val="0"/>
                <w:sz w:val="24"/>
                <w:highlight w:val="none"/>
                <w:lang w:val="en-US" w:eastAsia="zh-CN"/>
              </w:rPr>
              <w:t>磨刀石经营所、代马沟经营所、柳毛河林场、青梅实验林场</w:t>
            </w:r>
          </w:p>
        </w:tc>
      </w:tr>
    </w:tbl>
    <w:p w14:paraId="23907B60">
      <w:pPr>
        <w:ind w:left="0" w:leftChars="0" w:firstLine="0" w:firstLineChars="0"/>
        <w:rPr>
          <w:rFonts w:hint="default" w:eastAsia="仿宋_GB2312"/>
          <w:b/>
          <w:bCs/>
          <w:sz w:val="32"/>
          <w:szCs w:val="32"/>
          <w:highlight w:val="none"/>
          <w:lang w:val="en-US" w:eastAsia="zh-CN"/>
        </w:rPr>
      </w:pPr>
      <w:r>
        <w:rPr>
          <w:rFonts w:hint="eastAsia" w:eastAsia="仿宋_GB2312"/>
          <w:b/>
          <w:bCs/>
          <w:sz w:val="32"/>
          <w:szCs w:val="32"/>
          <w:highlight w:val="none"/>
          <w:lang w:eastAsia="zh-CN"/>
        </w:rPr>
        <w:t>附件</w:t>
      </w:r>
      <w:r>
        <w:rPr>
          <w:rFonts w:hint="eastAsia" w:eastAsia="仿宋_GB2312"/>
          <w:b/>
          <w:bCs/>
          <w:sz w:val="32"/>
          <w:szCs w:val="32"/>
          <w:highlight w:val="none"/>
          <w:lang w:val="en-US" w:eastAsia="zh-CN"/>
        </w:rPr>
        <w:t>4</w:t>
      </w:r>
    </w:p>
    <w:p w14:paraId="7080A59C">
      <w:pPr>
        <w:jc w:val="center"/>
        <w:rPr>
          <w:rFonts w:hint="eastAsia" w:ascii="仿宋_GB2312" w:eastAsia="仿宋_GB2312"/>
          <w:b/>
          <w:bCs/>
          <w:sz w:val="36"/>
          <w:szCs w:val="36"/>
          <w:highlight w:val="none"/>
        </w:rPr>
      </w:pPr>
      <w:r>
        <w:rPr>
          <w:rFonts w:hint="eastAsia" w:ascii="仿宋_GB2312" w:hAnsi="Times New Roman" w:eastAsia="仿宋_GB2312"/>
          <w:b/>
          <w:sz w:val="36"/>
          <w:szCs w:val="36"/>
          <w:highlight w:val="none"/>
        </w:rPr>
        <w:t>牡丹江市区</w:t>
      </w:r>
      <w:r>
        <w:rPr>
          <w:rFonts w:hint="eastAsia" w:ascii="仿宋_GB2312" w:hAnsi="Times New Roman" w:eastAsia="仿宋_GB2312"/>
          <w:b/>
          <w:sz w:val="36"/>
          <w:szCs w:val="36"/>
          <w:highlight w:val="none"/>
          <w:lang w:val="en-US" w:eastAsia="zh-CN"/>
        </w:rPr>
        <w:t>农用地</w:t>
      </w:r>
      <w:r>
        <w:rPr>
          <w:rFonts w:hint="eastAsia" w:ascii="仿宋_GB2312" w:eastAsia="仿宋_GB2312"/>
          <w:b/>
          <w:bCs/>
          <w:sz w:val="36"/>
          <w:szCs w:val="36"/>
          <w:highlight w:val="none"/>
        </w:rPr>
        <w:t>基准地价</w:t>
      </w:r>
    </w:p>
    <w:p w14:paraId="1DA0CECA">
      <w:pPr>
        <w:jc w:val="center"/>
        <w:rPr>
          <w:rFonts w:hint="eastAsia" w:ascii="仿宋_GB2312" w:eastAsia="仿宋_GB2312"/>
          <w:sz w:val="36"/>
          <w:szCs w:val="36"/>
          <w:highlight w:val="none"/>
          <w:lang w:val="en-US" w:eastAsia="zh-CN"/>
        </w:rPr>
      </w:pPr>
      <w:r>
        <w:rPr>
          <w:rFonts w:hint="eastAsia" w:ascii="仿宋_GB2312" w:eastAsia="仿宋_GB2312"/>
          <w:b/>
          <w:bCs/>
          <w:sz w:val="36"/>
          <w:szCs w:val="36"/>
          <w:highlight w:val="none"/>
        </w:rPr>
        <w:t>测算用途及适用范围</w:t>
      </w:r>
    </w:p>
    <w:p w14:paraId="47C82510">
      <w:pPr>
        <w:ind w:firstLine="640" w:firstLineChars="200"/>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rPr>
        <w:t>根据《</w:t>
      </w:r>
      <w:r>
        <w:rPr>
          <w:rFonts w:hint="eastAsia" w:ascii="Times New Roman" w:hAnsi="Times New Roman" w:eastAsia="仿宋_GB2312" w:cs="Times New Roman"/>
          <w:sz w:val="32"/>
          <w:szCs w:val="32"/>
          <w:highlight w:val="none"/>
          <w:lang w:eastAsia="zh-CN"/>
        </w:rPr>
        <w:t>自然资源部关于印发</w:t>
      </w:r>
      <w:r>
        <w:rPr>
          <w:rFonts w:hint="eastAsia" w:ascii="仿宋" w:hAnsi="仿宋" w:eastAsia="仿宋" w:cs="仿宋"/>
          <w:sz w:val="32"/>
          <w:szCs w:val="32"/>
          <w:highlight w:val="none"/>
          <w:lang w:eastAsia="zh-CN"/>
        </w:rPr>
        <w:t>〈</w:t>
      </w:r>
      <w:r>
        <w:rPr>
          <w:rFonts w:hint="eastAsia" w:ascii="Times New Roman" w:hAnsi="Times New Roman" w:eastAsia="仿宋_GB2312" w:cs="Times New Roman"/>
          <w:sz w:val="32"/>
          <w:szCs w:val="32"/>
          <w:highlight w:val="none"/>
        </w:rPr>
        <w:t>国土空间调查、规划、用途管制用地用海分类指南</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的通知</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自然资发〔202</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234</w:t>
      </w:r>
      <w:r>
        <w:rPr>
          <w:rFonts w:hint="default" w:ascii="Times New Roman" w:hAnsi="Times New Roman" w:eastAsia="仿宋_GB2312" w:cs="Times New Roman"/>
          <w:sz w:val="32"/>
          <w:szCs w:val="32"/>
          <w:highlight w:val="none"/>
        </w:rPr>
        <w:t>号</w:t>
      </w:r>
      <w:r>
        <w:rPr>
          <w:rFonts w:hint="eastAsia" w:ascii="Times New Roman" w:hAnsi="Times New Roman" w:eastAsia="仿宋_GB2312" w:cs="Times New Roman"/>
          <w:sz w:val="32"/>
          <w:szCs w:val="32"/>
          <w:highlight w:val="none"/>
          <w:lang w:eastAsia="zh-CN"/>
        </w:rPr>
        <w:t>），确定</w:t>
      </w:r>
      <w:r>
        <w:rPr>
          <w:rFonts w:hint="eastAsia" w:ascii="Times New Roman" w:hAnsi="Times New Roman" w:eastAsia="仿宋_GB2312" w:cs="Times New Roman"/>
          <w:sz w:val="32"/>
          <w:szCs w:val="32"/>
          <w:highlight w:val="none"/>
          <w:lang w:val="en-US" w:eastAsia="zh-CN"/>
        </w:rPr>
        <w:t>旱地、水田、水浇地</w:t>
      </w:r>
      <w:r>
        <w:rPr>
          <w:rFonts w:hint="eastAsia" w:ascii="Times New Roman" w:hAnsi="Times New Roman" w:eastAsia="仿宋_GB2312" w:cs="Times New Roman"/>
          <w:sz w:val="32"/>
          <w:szCs w:val="32"/>
          <w:highlight w:val="none"/>
          <w:lang w:eastAsia="zh-CN"/>
        </w:rPr>
        <w:t>基准地价适用范围</w:t>
      </w:r>
      <w:r>
        <w:rPr>
          <w:rFonts w:hint="eastAsia" w:ascii="Times New Roman" w:hAnsi="Times New Roman" w:eastAsia="仿宋_GB2312" w:cs="Times New Roman"/>
          <w:sz w:val="32"/>
          <w:szCs w:val="32"/>
          <w:highlight w:val="none"/>
        </w:rPr>
        <w:t>。</w:t>
      </w:r>
    </w:p>
    <w:p w14:paraId="53F887C8">
      <w:pPr>
        <w:jc w:val="center"/>
        <w:rPr>
          <w:rFonts w:hint="eastAsia" w:ascii="仿宋_GB2312" w:eastAsia="仿宋_GB2312"/>
          <w:sz w:val="32"/>
          <w:szCs w:val="32"/>
          <w:highlight w:val="none"/>
          <w:lang w:val="en-US" w:eastAsia="zh-CN"/>
        </w:rPr>
      </w:pPr>
      <w:r>
        <w:rPr>
          <w:rFonts w:hint="eastAsia" w:ascii="仿宋_GB2312" w:hAnsi="Times New Roman" w:eastAsia="仿宋_GB2312"/>
          <w:b/>
          <w:sz w:val="32"/>
          <w:szCs w:val="32"/>
          <w:highlight w:val="none"/>
        </w:rPr>
        <w:t>牡丹江市区</w:t>
      </w:r>
      <w:r>
        <w:rPr>
          <w:rFonts w:hint="eastAsia" w:ascii="仿宋_GB2312" w:hAnsi="Times New Roman" w:eastAsia="仿宋_GB2312"/>
          <w:b/>
          <w:sz w:val="32"/>
          <w:szCs w:val="32"/>
          <w:highlight w:val="none"/>
          <w:lang w:val="en-US" w:eastAsia="zh-CN"/>
        </w:rPr>
        <w:t>农用地</w:t>
      </w:r>
      <w:r>
        <w:rPr>
          <w:rFonts w:hint="eastAsia" w:ascii="仿宋_GB2312" w:eastAsia="仿宋_GB2312"/>
          <w:b/>
          <w:bCs/>
          <w:sz w:val="32"/>
          <w:szCs w:val="32"/>
          <w:highlight w:val="none"/>
        </w:rPr>
        <w:t>基准地价测算用途及适用范围</w:t>
      </w:r>
      <w:r>
        <w:rPr>
          <w:rFonts w:hint="eastAsia" w:ascii="仿宋_GB2312" w:eastAsia="仿宋_GB2312"/>
          <w:b/>
          <w:bCs/>
          <w:sz w:val="32"/>
          <w:szCs w:val="32"/>
          <w:highlight w:val="none"/>
          <w:lang w:val="en-US" w:eastAsia="zh-CN"/>
        </w:rPr>
        <w:t>表</w:t>
      </w:r>
    </w:p>
    <w:tbl>
      <w:tblPr>
        <w:tblStyle w:val="14"/>
        <w:tblW w:w="5210" w:type="pct"/>
        <w:tblInd w:w="-1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3"/>
        <w:gridCol w:w="1549"/>
        <w:gridCol w:w="6388"/>
      </w:tblGrid>
      <w:tr w14:paraId="7C72B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31" w:type="pct"/>
            <w:tcBorders>
              <w:top w:val="single" w:color="000000" w:sz="4" w:space="0"/>
              <w:left w:val="single" w:color="000000" w:sz="4" w:space="0"/>
              <w:bottom w:val="single" w:color="000000" w:sz="4" w:space="0"/>
              <w:right w:val="single" w:color="000000" w:sz="4" w:space="0"/>
            </w:tcBorders>
            <w:noWrap w:val="0"/>
            <w:vAlign w:val="center"/>
          </w:tcPr>
          <w:p w14:paraId="459A23CC">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序号</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14:paraId="7D606849">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土地用途</w:t>
            </w:r>
          </w:p>
        </w:tc>
        <w:tc>
          <w:tcPr>
            <w:tcW w:w="3595" w:type="pct"/>
            <w:tcBorders>
              <w:top w:val="single" w:color="000000" w:sz="4" w:space="0"/>
              <w:left w:val="single" w:color="000000" w:sz="4" w:space="0"/>
              <w:bottom w:val="single" w:color="000000" w:sz="4" w:space="0"/>
              <w:right w:val="single" w:color="000000" w:sz="4" w:space="0"/>
            </w:tcBorders>
            <w:noWrap w:val="0"/>
            <w:vAlign w:val="center"/>
          </w:tcPr>
          <w:p w14:paraId="3F6F5CE2">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含义</w:t>
            </w:r>
          </w:p>
        </w:tc>
      </w:tr>
      <w:tr w14:paraId="496E2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31" w:type="pct"/>
            <w:tcBorders>
              <w:top w:val="single" w:color="000000" w:sz="4" w:space="0"/>
              <w:left w:val="single" w:color="000000" w:sz="4" w:space="0"/>
              <w:bottom w:val="single" w:color="000000" w:sz="4" w:space="0"/>
              <w:right w:val="single" w:color="000000" w:sz="4" w:space="0"/>
            </w:tcBorders>
            <w:noWrap w:val="0"/>
            <w:vAlign w:val="center"/>
          </w:tcPr>
          <w:p w14:paraId="0993151D">
            <w:pPr>
              <w:jc w:val="center"/>
              <w:rPr>
                <w:rFonts w:hint="default"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1</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14:paraId="1D8779F0">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旱地</w:t>
            </w:r>
          </w:p>
        </w:tc>
        <w:tc>
          <w:tcPr>
            <w:tcW w:w="3595" w:type="pct"/>
            <w:tcBorders>
              <w:top w:val="single" w:color="000000" w:sz="4" w:space="0"/>
              <w:left w:val="single" w:color="000000" w:sz="4" w:space="0"/>
              <w:bottom w:val="single" w:color="000000" w:sz="4" w:space="0"/>
              <w:right w:val="single" w:color="000000" w:sz="4" w:space="0"/>
            </w:tcBorders>
            <w:noWrap w:val="0"/>
            <w:vAlign w:val="center"/>
          </w:tcPr>
          <w:p w14:paraId="0F098EFA">
            <w:pPr>
              <w:jc w:val="left"/>
              <w:rPr>
                <w:rFonts w:hint="default"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指无灌溉设施，</w:t>
            </w:r>
            <w:bookmarkStart w:id="0" w:name="_GoBack"/>
            <w:bookmarkEnd w:id="0"/>
            <w:r>
              <w:rPr>
                <w:rFonts w:hint="eastAsia" w:ascii="仿宋_GB2312" w:hAnsi="Times New Roman" w:eastAsia="仿宋_GB2312" w:cs="Times New Roman"/>
                <w:sz w:val="24"/>
                <w:szCs w:val="24"/>
                <w:highlight w:val="none"/>
                <w:lang w:val="en-US" w:eastAsia="zh-CN"/>
              </w:rPr>
              <w:t>主要靠天然降水种植旱生农作物的耕地，包括没有灌溉设施，仅靠引洪淤灌的耕地</w:t>
            </w:r>
          </w:p>
        </w:tc>
      </w:tr>
      <w:tr w14:paraId="4819C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31" w:type="pct"/>
            <w:tcBorders>
              <w:top w:val="single" w:color="000000" w:sz="4" w:space="0"/>
              <w:left w:val="single" w:color="000000" w:sz="4" w:space="0"/>
              <w:bottom w:val="single" w:color="000000" w:sz="4" w:space="0"/>
              <w:right w:val="single" w:color="000000" w:sz="4" w:space="0"/>
            </w:tcBorders>
            <w:noWrap w:val="0"/>
            <w:vAlign w:val="center"/>
          </w:tcPr>
          <w:p w14:paraId="03A1EE4C">
            <w:pPr>
              <w:jc w:val="center"/>
              <w:rPr>
                <w:rFonts w:hint="default"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2</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14:paraId="3347853C">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水田</w:t>
            </w:r>
          </w:p>
        </w:tc>
        <w:tc>
          <w:tcPr>
            <w:tcW w:w="3595" w:type="pct"/>
            <w:tcBorders>
              <w:top w:val="single" w:color="000000" w:sz="4" w:space="0"/>
              <w:left w:val="single" w:color="000000" w:sz="4" w:space="0"/>
              <w:bottom w:val="single" w:color="000000" w:sz="4" w:space="0"/>
              <w:right w:val="single" w:color="000000" w:sz="4" w:space="0"/>
            </w:tcBorders>
            <w:noWrap w:val="0"/>
            <w:vAlign w:val="center"/>
          </w:tcPr>
          <w:p w14:paraId="784CAF7D">
            <w:pPr>
              <w:jc w:val="left"/>
              <w:rPr>
                <w:rFonts w:hint="default"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指用于种植水稻、莲藕等水生农作物的耕地，包括实行水生、旱生农作物轮种的耕地</w:t>
            </w:r>
          </w:p>
        </w:tc>
      </w:tr>
      <w:tr w14:paraId="5C362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31" w:type="pct"/>
            <w:tcBorders>
              <w:top w:val="single" w:color="000000" w:sz="4" w:space="0"/>
              <w:left w:val="single" w:color="000000" w:sz="4" w:space="0"/>
              <w:bottom w:val="single" w:color="000000" w:sz="4" w:space="0"/>
              <w:right w:val="single" w:color="000000" w:sz="4" w:space="0"/>
            </w:tcBorders>
            <w:noWrap w:val="0"/>
            <w:vAlign w:val="center"/>
          </w:tcPr>
          <w:p w14:paraId="52562B90">
            <w:pPr>
              <w:jc w:val="center"/>
              <w:rPr>
                <w:rFonts w:hint="default"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3</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14:paraId="1109F452">
            <w:pPr>
              <w:jc w:val="center"/>
              <w:rPr>
                <w:rFonts w:hint="eastAsia"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水浇地</w:t>
            </w:r>
          </w:p>
        </w:tc>
        <w:tc>
          <w:tcPr>
            <w:tcW w:w="3595" w:type="pct"/>
            <w:tcBorders>
              <w:top w:val="single" w:color="000000" w:sz="4" w:space="0"/>
              <w:left w:val="single" w:color="000000" w:sz="4" w:space="0"/>
              <w:bottom w:val="single" w:color="000000" w:sz="4" w:space="0"/>
              <w:right w:val="single" w:color="000000" w:sz="4" w:space="0"/>
            </w:tcBorders>
            <w:noWrap w:val="0"/>
            <w:vAlign w:val="center"/>
          </w:tcPr>
          <w:p w14:paraId="578B5389">
            <w:pPr>
              <w:jc w:val="left"/>
              <w:rPr>
                <w:rFonts w:hint="default"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指有水源保证和灌溉设施，在一般年景能正常灌溉，种植旱生农作物（含蔬菜）的耕地</w:t>
            </w:r>
          </w:p>
        </w:tc>
      </w:tr>
    </w:tbl>
    <w:p w14:paraId="02FFB0AE">
      <w:pPr>
        <w:pStyle w:val="3"/>
        <w:jc w:val="both"/>
        <w:rPr>
          <w:rFonts w:hint="eastAsia"/>
          <w:lang w:val="en-US" w:eastAsia="zh-CN"/>
        </w:rPr>
      </w:pPr>
    </w:p>
    <w:p w14:paraId="3E4A1157">
      <w:pPr>
        <w:rPr>
          <w:rFonts w:hint="eastAsia" w:ascii="Times New Roman" w:hAnsi="Times New Roman" w:eastAsia="仿宋_GB2312"/>
          <w:sz w:val="32"/>
          <w:szCs w:val="32"/>
          <w:highlight w:val="none"/>
        </w:rPr>
      </w:pPr>
    </w:p>
    <w:sectPr>
      <w:footerReference r:id="rId3"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FD4A7">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9830248">
                          <w:pPr>
                            <w:pStyle w:val="8"/>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59830248">
                    <w:pPr>
                      <w:pStyle w:val="8"/>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3NDg4OTJjMjFiN2QwZWM5MDZlNzM1Mjk2YzlhODkifQ=="/>
  </w:docVars>
  <w:rsids>
    <w:rsidRoot w:val="000F24EA"/>
    <w:rsid w:val="000008D5"/>
    <w:rsid w:val="00001FFC"/>
    <w:rsid w:val="00016915"/>
    <w:rsid w:val="00021BD3"/>
    <w:rsid w:val="0002776F"/>
    <w:rsid w:val="0003767D"/>
    <w:rsid w:val="0003788B"/>
    <w:rsid w:val="00040408"/>
    <w:rsid w:val="00046ED0"/>
    <w:rsid w:val="000714BC"/>
    <w:rsid w:val="000744F2"/>
    <w:rsid w:val="0008066E"/>
    <w:rsid w:val="000A2B4B"/>
    <w:rsid w:val="000A5265"/>
    <w:rsid w:val="000A547F"/>
    <w:rsid w:val="000C1AD2"/>
    <w:rsid w:val="000C595E"/>
    <w:rsid w:val="000D650F"/>
    <w:rsid w:val="000F0C46"/>
    <w:rsid w:val="000F24EA"/>
    <w:rsid w:val="00111A1E"/>
    <w:rsid w:val="00133B08"/>
    <w:rsid w:val="00145DB1"/>
    <w:rsid w:val="0014630B"/>
    <w:rsid w:val="00163AFA"/>
    <w:rsid w:val="001640AD"/>
    <w:rsid w:val="001709A7"/>
    <w:rsid w:val="0017542B"/>
    <w:rsid w:val="00177878"/>
    <w:rsid w:val="0019085C"/>
    <w:rsid w:val="001A625B"/>
    <w:rsid w:val="001B43FF"/>
    <w:rsid w:val="001B5E5D"/>
    <w:rsid w:val="001D4514"/>
    <w:rsid w:val="001F7DBE"/>
    <w:rsid w:val="002021A8"/>
    <w:rsid w:val="00205C17"/>
    <w:rsid w:val="00212AF7"/>
    <w:rsid w:val="002379AB"/>
    <w:rsid w:val="0025246C"/>
    <w:rsid w:val="002564CC"/>
    <w:rsid w:val="00257E0F"/>
    <w:rsid w:val="00262924"/>
    <w:rsid w:val="00264DDB"/>
    <w:rsid w:val="00284B47"/>
    <w:rsid w:val="00297E2B"/>
    <w:rsid w:val="002A7CD5"/>
    <w:rsid w:val="002C1475"/>
    <w:rsid w:val="002D7BDE"/>
    <w:rsid w:val="002E513B"/>
    <w:rsid w:val="0030050D"/>
    <w:rsid w:val="0032658B"/>
    <w:rsid w:val="003431B3"/>
    <w:rsid w:val="00346520"/>
    <w:rsid w:val="003520BF"/>
    <w:rsid w:val="00353BF7"/>
    <w:rsid w:val="00357258"/>
    <w:rsid w:val="003647EE"/>
    <w:rsid w:val="003656C0"/>
    <w:rsid w:val="003814B4"/>
    <w:rsid w:val="0039593D"/>
    <w:rsid w:val="003A089B"/>
    <w:rsid w:val="003A0C66"/>
    <w:rsid w:val="003B0D9E"/>
    <w:rsid w:val="003B5DB6"/>
    <w:rsid w:val="003B63D0"/>
    <w:rsid w:val="003D5464"/>
    <w:rsid w:val="003E379F"/>
    <w:rsid w:val="003E3B8F"/>
    <w:rsid w:val="003F0A74"/>
    <w:rsid w:val="003F3FA5"/>
    <w:rsid w:val="003F5456"/>
    <w:rsid w:val="0040020B"/>
    <w:rsid w:val="004028BA"/>
    <w:rsid w:val="004100A8"/>
    <w:rsid w:val="0041023C"/>
    <w:rsid w:val="004314D8"/>
    <w:rsid w:val="0044182F"/>
    <w:rsid w:val="00445BEA"/>
    <w:rsid w:val="00446AA1"/>
    <w:rsid w:val="00465939"/>
    <w:rsid w:val="00477D89"/>
    <w:rsid w:val="00480BE7"/>
    <w:rsid w:val="00483BEA"/>
    <w:rsid w:val="00484693"/>
    <w:rsid w:val="004D1584"/>
    <w:rsid w:val="004E32EA"/>
    <w:rsid w:val="004E5057"/>
    <w:rsid w:val="004F6A5E"/>
    <w:rsid w:val="005161A1"/>
    <w:rsid w:val="0053108A"/>
    <w:rsid w:val="00551DF0"/>
    <w:rsid w:val="00572B62"/>
    <w:rsid w:val="00583049"/>
    <w:rsid w:val="00590ED8"/>
    <w:rsid w:val="00594ADA"/>
    <w:rsid w:val="005A5360"/>
    <w:rsid w:val="005B430B"/>
    <w:rsid w:val="005E0B87"/>
    <w:rsid w:val="00602DB4"/>
    <w:rsid w:val="00642B43"/>
    <w:rsid w:val="0064685E"/>
    <w:rsid w:val="00661129"/>
    <w:rsid w:val="00667022"/>
    <w:rsid w:val="00674BE4"/>
    <w:rsid w:val="00675F3B"/>
    <w:rsid w:val="00681B08"/>
    <w:rsid w:val="00681B3F"/>
    <w:rsid w:val="00697418"/>
    <w:rsid w:val="00697FFB"/>
    <w:rsid w:val="006B2619"/>
    <w:rsid w:val="006E2249"/>
    <w:rsid w:val="00722B82"/>
    <w:rsid w:val="007259E0"/>
    <w:rsid w:val="00744451"/>
    <w:rsid w:val="007626EB"/>
    <w:rsid w:val="0078398D"/>
    <w:rsid w:val="007A3EA3"/>
    <w:rsid w:val="007B2F67"/>
    <w:rsid w:val="007B3570"/>
    <w:rsid w:val="007D2C17"/>
    <w:rsid w:val="007D6108"/>
    <w:rsid w:val="008134AD"/>
    <w:rsid w:val="00822FA3"/>
    <w:rsid w:val="00843D63"/>
    <w:rsid w:val="008515ED"/>
    <w:rsid w:val="0087080D"/>
    <w:rsid w:val="00876106"/>
    <w:rsid w:val="00891D27"/>
    <w:rsid w:val="0089364F"/>
    <w:rsid w:val="00893F11"/>
    <w:rsid w:val="00894E9D"/>
    <w:rsid w:val="008B4117"/>
    <w:rsid w:val="008D3840"/>
    <w:rsid w:val="008E26A1"/>
    <w:rsid w:val="008F2056"/>
    <w:rsid w:val="008F7671"/>
    <w:rsid w:val="0091143E"/>
    <w:rsid w:val="00912FA2"/>
    <w:rsid w:val="00914013"/>
    <w:rsid w:val="00927B03"/>
    <w:rsid w:val="00936957"/>
    <w:rsid w:val="009423F6"/>
    <w:rsid w:val="00942C95"/>
    <w:rsid w:val="00961059"/>
    <w:rsid w:val="00974031"/>
    <w:rsid w:val="00997AA5"/>
    <w:rsid w:val="009C318B"/>
    <w:rsid w:val="009E135E"/>
    <w:rsid w:val="009E760D"/>
    <w:rsid w:val="009F748C"/>
    <w:rsid w:val="00A01A08"/>
    <w:rsid w:val="00A7455E"/>
    <w:rsid w:val="00A8412A"/>
    <w:rsid w:val="00A92C4D"/>
    <w:rsid w:val="00A94A80"/>
    <w:rsid w:val="00A957C9"/>
    <w:rsid w:val="00AA16AB"/>
    <w:rsid w:val="00AA4112"/>
    <w:rsid w:val="00AA452C"/>
    <w:rsid w:val="00AA4CBC"/>
    <w:rsid w:val="00AB031C"/>
    <w:rsid w:val="00AB091E"/>
    <w:rsid w:val="00AD4CE2"/>
    <w:rsid w:val="00AF71D8"/>
    <w:rsid w:val="00B053D5"/>
    <w:rsid w:val="00B32E5A"/>
    <w:rsid w:val="00B475D4"/>
    <w:rsid w:val="00B50C04"/>
    <w:rsid w:val="00B51950"/>
    <w:rsid w:val="00B75468"/>
    <w:rsid w:val="00B82C37"/>
    <w:rsid w:val="00B8659F"/>
    <w:rsid w:val="00B91147"/>
    <w:rsid w:val="00B967EB"/>
    <w:rsid w:val="00BC7C6C"/>
    <w:rsid w:val="00BD0E74"/>
    <w:rsid w:val="00BD541B"/>
    <w:rsid w:val="00BD6C0B"/>
    <w:rsid w:val="00BE0D36"/>
    <w:rsid w:val="00BF2F60"/>
    <w:rsid w:val="00C037E0"/>
    <w:rsid w:val="00C14728"/>
    <w:rsid w:val="00C1557F"/>
    <w:rsid w:val="00C82AEC"/>
    <w:rsid w:val="00CB4E62"/>
    <w:rsid w:val="00CC6418"/>
    <w:rsid w:val="00CE0A46"/>
    <w:rsid w:val="00CF35A7"/>
    <w:rsid w:val="00CF3BFD"/>
    <w:rsid w:val="00D21F05"/>
    <w:rsid w:val="00D260F3"/>
    <w:rsid w:val="00D33ACD"/>
    <w:rsid w:val="00D3575D"/>
    <w:rsid w:val="00D51290"/>
    <w:rsid w:val="00D70AD1"/>
    <w:rsid w:val="00D87681"/>
    <w:rsid w:val="00DA2B46"/>
    <w:rsid w:val="00DE5449"/>
    <w:rsid w:val="00DE7771"/>
    <w:rsid w:val="00E620C5"/>
    <w:rsid w:val="00E65A9F"/>
    <w:rsid w:val="00E9199B"/>
    <w:rsid w:val="00E97CFF"/>
    <w:rsid w:val="00EA03D8"/>
    <w:rsid w:val="00EA1A8D"/>
    <w:rsid w:val="00EB0B9F"/>
    <w:rsid w:val="00EC50DD"/>
    <w:rsid w:val="00ED0C94"/>
    <w:rsid w:val="00EF5E3F"/>
    <w:rsid w:val="00F071A3"/>
    <w:rsid w:val="00F244C5"/>
    <w:rsid w:val="00F5598C"/>
    <w:rsid w:val="00F7171D"/>
    <w:rsid w:val="00F739D0"/>
    <w:rsid w:val="00F744A3"/>
    <w:rsid w:val="00F81E5E"/>
    <w:rsid w:val="00F87399"/>
    <w:rsid w:val="00F904CE"/>
    <w:rsid w:val="00F9075B"/>
    <w:rsid w:val="00F90A72"/>
    <w:rsid w:val="00FA7EAD"/>
    <w:rsid w:val="00FC7B6A"/>
    <w:rsid w:val="00FD030E"/>
    <w:rsid w:val="00FD3F72"/>
    <w:rsid w:val="0119677B"/>
    <w:rsid w:val="016B4B25"/>
    <w:rsid w:val="019D115B"/>
    <w:rsid w:val="02032997"/>
    <w:rsid w:val="02035E1C"/>
    <w:rsid w:val="0214039F"/>
    <w:rsid w:val="0233386D"/>
    <w:rsid w:val="026305F6"/>
    <w:rsid w:val="028525D5"/>
    <w:rsid w:val="030502B6"/>
    <w:rsid w:val="03101E00"/>
    <w:rsid w:val="03685A61"/>
    <w:rsid w:val="03980794"/>
    <w:rsid w:val="03D9126A"/>
    <w:rsid w:val="04714B20"/>
    <w:rsid w:val="051E6079"/>
    <w:rsid w:val="055B18D1"/>
    <w:rsid w:val="058C1C12"/>
    <w:rsid w:val="059B2585"/>
    <w:rsid w:val="071E3E8D"/>
    <w:rsid w:val="077B54A1"/>
    <w:rsid w:val="08071A24"/>
    <w:rsid w:val="088F5575"/>
    <w:rsid w:val="08FD4BD5"/>
    <w:rsid w:val="09395A72"/>
    <w:rsid w:val="093D3223"/>
    <w:rsid w:val="0BCE6898"/>
    <w:rsid w:val="0BDD602E"/>
    <w:rsid w:val="0C7B02EA"/>
    <w:rsid w:val="0CBA150A"/>
    <w:rsid w:val="0DAE02BA"/>
    <w:rsid w:val="0EA93835"/>
    <w:rsid w:val="0EBB5316"/>
    <w:rsid w:val="0EF600FC"/>
    <w:rsid w:val="11681003"/>
    <w:rsid w:val="119A06D4"/>
    <w:rsid w:val="11DF64A2"/>
    <w:rsid w:val="12E14429"/>
    <w:rsid w:val="12F14B87"/>
    <w:rsid w:val="13441D7E"/>
    <w:rsid w:val="14363136"/>
    <w:rsid w:val="158A5554"/>
    <w:rsid w:val="15E0020E"/>
    <w:rsid w:val="15EB74C3"/>
    <w:rsid w:val="171E2D3B"/>
    <w:rsid w:val="17A23946"/>
    <w:rsid w:val="17D42CC9"/>
    <w:rsid w:val="17E62FC7"/>
    <w:rsid w:val="187A3D45"/>
    <w:rsid w:val="18AE255A"/>
    <w:rsid w:val="18E67433"/>
    <w:rsid w:val="18F54587"/>
    <w:rsid w:val="199402BF"/>
    <w:rsid w:val="1A366198"/>
    <w:rsid w:val="1A7171D0"/>
    <w:rsid w:val="1A980548"/>
    <w:rsid w:val="1ABD48A3"/>
    <w:rsid w:val="1AFD7381"/>
    <w:rsid w:val="1B803B6F"/>
    <w:rsid w:val="1C0437ED"/>
    <w:rsid w:val="1C2726BB"/>
    <w:rsid w:val="1CF0262F"/>
    <w:rsid w:val="1E596CCF"/>
    <w:rsid w:val="1EF82BB3"/>
    <w:rsid w:val="1F473E38"/>
    <w:rsid w:val="1F82068F"/>
    <w:rsid w:val="201C373B"/>
    <w:rsid w:val="21A97250"/>
    <w:rsid w:val="222114DC"/>
    <w:rsid w:val="226A0695"/>
    <w:rsid w:val="22D402FC"/>
    <w:rsid w:val="22DE7E76"/>
    <w:rsid w:val="23244DE0"/>
    <w:rsid w:val="23757D31"/>
    <w:rsid w:val="23B048C6"/>
    <w:rsid w:val="23CB0CD6"/>
    <w:rsid w:val="23F073B8"/>
    <w:rsid w:val="242C6763"/>
    <w:rsid w:val="24786BE1"/>
    <w:rsid w:val="249B0953"/>
    <w:rsid w:val="25162E4E"/>
    <w:rsid w:val="25431A34"/>
    <w:rsid w:val="25996CDA"/>
    <w:rsid w:val="26702640"/>
    <w:rsid w:val="27244C60"/>
    <w:rsid w:val="27732C16"/>
    <w:rsid w:val="27B87E1C"/>
    <w:rsid w:val="27BA1113"/>
    <w:rsid w:val="27EF5B4F"/>
    <w:rsid w:val="282D2AFC"/>
    <w:rsid w:val="28A7678F"/>
    <w:rsid w:val="28EC690E"/>
    <w:rsid w:val="2B0229AE"/>
    <w:rsid w:val="2C234FD5"/>
    <w:rsid w:val="2C6D7080"/>
    <w:rsid w:val="2C975853"/>
    <w:rsid w:val="2CBE5738"/>
    <w:rsid w:val="2CCA317E"/>
    <w:rsid w:val="2CDB7705"/>
    <w:rsid w:val="2D8748E9"/>
    <w:rsid w:val="2E321FE3"/>
    <w:rsid w:val="2E7401C1"/>
    <w:rsid w:val="2EE0302A"/>
    <w:rsid w:val="2EE336AA"/>
    <w:rsid w:val="2FAD2601"/>
    <w:rsid w:val="3017184F"/>
    <w:rsid w:val="301A5EE8"/>
    <w:rsid w:val="307008AE"/>
    <w:rsid w:val="313C59EB"/>
    <w:rsid w:val="31A60C22"/>
    <w:rsid w:val="31D473D9"/>
    <w:rsid w:val="31E12EB5"/>
    <w:rsid w:val="327318E0"/>
    <w:rsid w:val="33793FCF"/>
    <w:rsid w:val="34A83329"/>
    <w:rsid w:val="34AE15AA"/>
    <w:rsid w:val="354E4257"/>
    <w:rsid w:val="35924A44"/>
    <w:rsid w:val="359C4ECE"/>
    <w:rsid w:val="36043B4E"/>
    <w:rsid w:val="36D41909"/>
    <w:rsid w:val="37441A9D"/>
    <w:rsid w:val="376A02B5"/>
    <w:rsid w:val="38451B82"/>
    <w:rsid w:val="390C2146"/>
    <w:rsid w:val="391334D5"/>
    <w:rsid w:val="393A02C8"/>
    <w:rsid w:val="3945291A"/>
    <w:rsid w:val="39882115"/>
    <w:rsid w:val="39924D42"/>
    <w:rsid w:val="39A0082A"/>
    <w:rsid w:val="39E62997"/>
    <w:rsid w:val="3A9C1EB8"/>
    <w:rsid w:val="3ACE0877"/>
    <w:rsid w:val="3AE96BE3"/>
    <w:rsid w:val="3AF934D6"/>
    <w:rsid w:val="3B043A1D"/>
    <w:rsid w:val="3B1479D8"/>
    <w:rsid w:val="3B9C1EA7"/>
    <w:rsid w:val="3CDB0ADE"/>
    <w:rsid w:val="3CE22725"/>
    <w:rsid w:val="3E410AE4"/>
    <w:rsid w:val="3E684B85"/>
    <w:rsid w:val="3E811D8A"/>
    <w:rsid w:val="3EF1250A"/>
    <w:rsid w:val="3F9C5858"/>
    <w:rsid w:val="3FCC262F"/>
    <w:rsid w:val="41262979"/>
    <w:rsid w:val="41BA3087"/>
    <w:rsid w:val="42632B71"/>
    <w:rsid w:val="42A24290"/>
    <w:rsid w:val="42A5230E"/>
    <w:rsid w:val="42EB7271"/>
    <w:rsid w:val="433B6AC0"/>
    <w:rsid w:val="43A63197"/>
    <w:rsid w:val="440A3726"/>
    <w:rsid w:val="44171EEE"/>
    <w:rsid w:val="4499080E"/>
    <w:rsid w:val="46AB640C"/>
    <w:rsid w:val="4701608D"/>
    <w:rsid w:val="4772237C"/>
    <w:rsid w:val="49427C2A"/>
    <w:rsid w:val="498D72D3"/>
    <w:rsid w:val="4A7D6472"/>
    <w:rsid w:val="4B62209A"/>
    <w:rsid w:val="4BB3361D"/>
    <w:rsid w:val="4BC44DAE"/>
    <w:rsid w:val="4C6360CA"/>
    <w:rsid w:val="4CAF57B3"/>
    <w:rsid w:val="4D0428D5"/>
    <w:rsid w:val="4D0B3404"/>
    <w:rsid w:val="4D6A628D"/>
    <w:rsid w:val="4E577EB0"/>
    <w:rsid w:val="4EE55592"/>
    <w:rsid w:val="4F451824"/>
    <w:rsid w:val="50EC48E0"/>
    <w:rsid w:val="51022360"/>
    <w:rsid w:val="517D376B"/>
    <w:rsid w:val="5196484B"/>
    <w:rsid w:val="52A01914"/>
    <w:rsid w:val="52FC589C"/>
    <w:rsid w:val="530B5B94"/>
    <w:rsid w:val="540821A9"/>
    <w:rsid w:val="543B00DA"/>
    <w:rsid w:val="54C17E31"/>
    <w:rsid w:val="54FC7BF5"/>
    <w:rsid w:val="5537630B"/>
    <w:rsid w:val="56702017"/>
    <w:rsid w:val="571B5F1F"/>
    <w:rsid w:val="575A60F8"/>
    <w:rsid w:val="57947A7F"/>
    <w:rsid w:val="579F6E11"/>
    <w:rsid w:val="57A61DD0"/>
    <w:rsid w:val="58114D47"/>
    <w:rsid w:val="58D50005"/>
    <w:rsid w:val="590D7AE9"/>
    <w:rsid w:val="5A2372D2"/>
    <w:rsid w:val="5AF301AE"/>
    <w:rsid w:val="5B5A555E"/>
    <w:rsid w:val="5BFC3849"/>
    <w:rsid w:val="5C2A5549"/>
    <w:rsid w:val="5C82434A"/>
    <w:rsid w:val="5D1F3887"/>
    <w:rsid w:val="5D26561D"/>
    <w:rsid w:val="5D2C0F26"/>
    <w:rsid w:val="5D2C42B6"/>
    <w:rsid w:val="5D4579C6"/>
    <w:rsid w:val="5DCA2888"/>
    <w:rsid w:val="5E7005EF"/>
    <w:rsid w:val="5E924CE8"/>
    <w:rsid w:val="5EA26F25"/>
    <w:rsid w:val="5FE612FC"/>
    <w:rsid w:val="603B5ECF"/>
    <w:rsid w:val="61F00305"/>
    <w:rsid w:val="65172125"/>
    <w:rsid w:val="65590A67"/>
    <w:rsid w:val="657B4E6D"/>
    <w:rsid w:val="65E41BD1"/>
    <w:rsid w:val="667F0B62"/>
    <w:rsid w:val="66964B62"/>
    <w:rsid w:val="66C12033"/>
    <w:rsid w:val="672A3F5C"/>
    <w:rsid w:val="67371EA1"/>
    <w:rsid w:val="675F2F0F"/>
    <w:rsid w:val="67786A75"/>
    <w:rsid w:val="67C603B0"/>
    <w:rsid w:val="67CC6600"/>
    <w:rsid w:val="67EE0FE4"/>
    <w:rsid w:val="683B490C"/>
    <w:rsid w:val="68802085"/>
    <w:rsid w:val="68C73114"/>
    <w:rsid w:val="69105F60"/>
    <w:rsid w:val="699A7177"/>
    <w:rsid w:val="6A621610"/>
    <w:rsid w:val="6AB82F1D"/>
    <w:rsid w:val="6AC07939"/>
    <w:rsid w:val="6AD00976"/>
    <w:rsid w:val="6B00125C"/>
    <w:rsid w:val="6B264A3A"/>
    <w:rsid w:val="6B680BAF"/>
    <w:rsid w:val="6BAC4F3F"/>
    <w:rsid w:val="6C611167"/>
    <w:rsid w:val="6D1143A3"/>
    <w:rsid w:val="6D194857"/>
    <w:rsid w:val="6DCB20F2"/>
    <w:rsid w:val="6F6F58D8"/>
    <w:rsid w:val="702C5717"/>
    <w:rsid w:val="70701C6B"/>
    <w:rsid w:val="72403C7E"/>
    <w:rsid w:val="72B76CE7"/>
    <w:rsid w:val="73C337A4"/>
    <w:rsid w:val="74B24854"/>
    <w:rsid w:val="75106BC2"/>
    <w:rsid w:val="75A97D8F"/>
    <w:rsid w:val="769E5DCD"/>
    <w:rsid w:val="772207AC"/>
    <w:rsid w:val="77FF1415"/>
    <w:rsid w:val="78000AED"/>
    <w:rsid w:val="780B50B6"/>
    <w:rsid w:val="784867EE"/>
    <w:rsid w:val="785C2C6C"/>
    <w:rsid w:val="78DC22F9"/>
    <w:rsid w:val="79232D8F"/>
    <w:rsid w:val="79F91C98"/>
    <w:rsid w:val="7A13262E"/>
    <w:rsid w:val="7A440A39"/>
    <w:rsid w:val="7B2D1F6D"/>
    <w:rsid w:val="7B711D02"/>
    <w:rsid w:val="7C2A25DC"/>
    <w:rsid w:val="7C9537CE"/>
    <w:rsid w:val="7DE8377F"/>
    <w:rsid w:val="7DE9584E"/>
    <w:rsid w:val="7E3B60EE"/>
    <w:rsid w:val="7E4D4360"/>
    <w:rsid w:val="7EF72FD8"/>
    <w:rsid w:val="7EFB447E"/>
    <w:rsid w:val="7F410598"/>
    <w:rsid w:val="7F5B0946"/>
    <w:rsid w:val="7F756061"/>
    <w:rsid w:val="7FE174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qFormat="1" w:unhideWhenUsed="0" w:uiPriority="0" w:semiHidden="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6">
    <w:name w:val="Default Paragraph Font"/>
    <w:unhideWhenUsed/>
    <w:qFormat/>
    <w:uiPriority w:val="1"/>
  </w:style>
  <w:style w:type="table" w:default="1" w:styleId="14">
    <w:name w:val="Normal Table"/>
    <w:unhideWhenUsed/>
    <w:qFormat/>
    <w:uiPriority w:val="99"/>
    <w:tblPr>
      <w:tblStyle w:val="14"/>
      <w:tblCellMar>
        <w:top w:w="0" w:type="dxa"/>
        <w:left w:w="108" w:type="dxa"/>
        <w:bottom w:w="0" w:type="dxa"/>
        <w:right w:w="108" w:type="dxa"/>
      </w:tblCellMar>
    </w:tblPr>
  </w:style>
  <w:style w:type="paragraph" w:styleId="4">
    <w:name w:val="annotation text"/>
    <w:basedOn w:val="1"/>
    <w:link w:val="19"/>
    <w:qFormat/>
    <w:uiPriority w:val="0"/>
    <w:pPr>
      <w:jc w:val="left"/>
    </w:pPr>
  </w:style>
  <w:style w:type="paragraph" w:styleId="5">
    <w:name w:val="Plain Text"/>
    <w:basedOn w:val="1"/>
    <w:link w:val="20"/>
    <w:qFormat/>
    <w:uiPriority w:val="0"/>
    <w:rPr>
      <w:rFonts w:ascii="宋体" w:hAnsi="Courier New" w:eastAsia="宋体" w:cs="Times New Roman"/>
      <w:szCs w:val="20"/>
    </w:rPr>
  </w:style>
  <w:style w:type="paragraph" w:styleId="6">
    <w:name w:val="Body Text Indent 2"/>
    <w:basedOn w:val="1"/>
    <w:link w:val="21"/>
    <w:qFormat/>
    <w:uiPriority w:val="0"/>
    <w:pPr>
      <w:widowControl/>
      <w:spacing w:line="360" w:lineRule="auto"/>
      <w:ind w:firstLine="499" w:firstLineChars="208"/>
      <w:jc w:val="left"/>
    </w:pPr>
    <w:rPr>
      <w:rFonts w:ascii="宋体" w:hAnsi="宋体" w:eastAsia="仿宋_GB2312" w:cs="Times New Roman"/>
      <w:smallCaps/>
      <w:kern w:val="0"/>
      <w:sz w:val="24"/>
    </w:rPr>
  </w:style>
  <w:style w:type="paragraph" w:styleId="7">
    <w:name w:val="Balloon Text"/>
    <w:basedOn w:val="1"/>
    <w:link w:val="22"/>
    <w:qFormat/>
    <w:uiPriority w:val="0"/>
    <w:rPr>
      <w:sz w:val="18"/>
      <w:szCs w:val="18"/>
    </w:rPr>
  </w:style>
  <w:style w:type="paragraph" w:styleId="8">
    <w:name w:val="footer"/>
    <w:basedOn w:val="1"/>
    <w:link w:val="23"/>
    <w:qFormat/>
    <w:uiPriority w:val="0"/>
    <w:pPr>
      <w:tabs>
        <w:tab w:val="center" w:pos="4153"/>
        <w:tab w:val="right" w:pos="8306"/>
      </w:tabs>
      <w:snapToGrid w:val="0"/>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line="360" w:lineRule="auto"/>
      <w:ind w:firstLine="480" w:firstLineChars="200"/>
    </w:pPr>
    <w:rPr>
      <w:rFonts w:ascii="宋体"/>
      <w:sz w:val="24"/>
    </w:rPr>
  </w:style>
  <w:style w:type="paragraph" w:styleId="11">
    <w:name w:val="Body Text 2"/>
    <w:qFormat/>
    <w:uiPriority w:val="0"/>
    <w:pPr>
      <w:widowControl w:val="0"/>
      <w:spacing w:after="120" w:afterLines="0" w:line="480" w:lineRule="auto"/>
      <w:jc w:val="both"/>
    </w:pPr>
    <w:rPr>
      <w:rFonts w:ascii="Times New Roman" w:hAnsi="Times New Roman" w:eastAsia="方正仿宋简体" w:cs="Times New Roman"/>
      <w:kern w:val="2"/>
      <w:sz w:val="32"/>
      <w:szCs w:val="24"/>
      <w:lang w:val="en-US" w:eastAsia="zh-CN" w:bidi="ar-SA"/>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3">
    <w:name w:val="annotation subject"/>
    <w:basedOn w:val="4"/>
    <w:next w:val="4"/>
    <w:link w:val="25"/>
    <w:qFormat/>
    <w:uiPriority w:val="0"/>
    <w:rPr>
      <w:b/>
      <w:bCs/>
    </w:rPr>
  </w:style>
  <w:style w:type="table" w:styleId="15">
    <w:name w:val="Table Grid 7"/>
    <w:basedOn w:val="14"/>
    <w:qFormat/>
    <w:uiPriority w:val="0"/>
    <w:pPr>
      <w:widowControl w:val="0"/>
      <w:jc w:val="both"/>
    </w:pPr>
    <w:rPr>
      <w:b/>
      <w:bCs/>
    </w:rPr>
    <w:tblPr>
      <w:tblStyle w:val="14"/>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blStyle w:val="14"/>
      </w:tblPr>
      <w:tcPr>
        <w:tcBorders>
          <w:top w:val="nil"/>
          <w:left w:val="single" w:color="000000" w:sz="12" w:space="0"/>
          <w:bottom w:val="nil"/>
          <w:right w:val="nil"/>
          <w:insideH w:val="nil"/>
          <w:insideV w:val="nil"/>
          <w:tl2br w:val="nil"/>
          <w:tr2bl w:val="nil"/>
        </w:tcBorders>
      </w:tcPr>
    </w:tblStylePr>
    <w:tblStylePr w:type="lastRow">
      <w:rPr>
        <w:b w:val="0"/>
        <w:bCs w:val="0"/>
      </w:rPr>
      <w:tblPr>
        <w:tblStyle w:val="14"/>
      </w:tblPr>
      <w:tcPr>
        <w:tcBorders>
          <w:top w:val="single" w:color="000000" w:sz="6" w:space="0"/>
          <w:left w:val="nil"/>
          <w:bottom w:val="nil"/>
          <w:right w:val="nil"/>
          <w:insideH w:val="nil"/>
          <w:insideV w:val="nil"/>
          <w:tl2br w:val="nil"/>
          <w:tr2bl w:val="nil"/>
        </w:tcBorders>
      </w:tcPr>
    </w:tblStylePr>
    <w:tblStylePr w:type="firstCol">
      <w:rPr>
        <w:b w:val="0"/>
        <w:bCs w:val="0"/>
      </w:rPr>
      <w:tblPr>
        <w:tblStyle w:val="14"/>
      </w:tblPr>
      <w:tcPr>
        <w:tcBorders>
          <w:top w:val="nil"/>
          <w:left w:val="nil"/>
          <w:bottom w:val="nil"/>
          <w:right w:val="nil"/>
          <w:insideH w:val="nil"/>
          <w:insideV w:val="nil"/>
          <w:tl2br w:val="nil"/>
          <w:tr2bl w:val="nil"/>
        </w:tcBorders>
      </w:tcPr>
    </w:tblStylePr>
    <w:tblStylePr w:type="lastCol">
      <w:rPr>
        <w:b w:val="0"/>
        <w:bCs w:val="0"/>
      </w:rPr>
      <w:tblPr>
        <w:tblStyle w:val="14"/>
      </w:tblPr>
      <w:tcPr>
        <w:tcBorders>
          <w:top w:val="nil"/>
          <w:left w:val="nil"/>
          <w:bottom w:val="nil"/>
          <w:right w:val="nil"/>
          <w:insideH w:val="nil"/>
          <w:insideV w:val="nil"/>
          <w:tl2br w:val="nil"/>
          <w:tr2bl w:val="nil"/>
        </w:tcBorders>
      </w:tcPr>
    </w:tblStylePr>
    <w:tblStylePr w:type="nwCell">
      <w:tblPr>
        <w:tblStyle w:val="14"/>
      </w:tblPr>
      <w:tcPr>
        <w:tcBorders>
          <w:top w:val="nil"/>
          <w:left w:val="nil"/>
          <w:bottom w:val="nil"/>
          <w:right w:val="nil"/>
          <w:insideH w:val="nil"/>
          <w:insideV w:val="nil"/>
          <w:tl2br w:val="single" w:color="000000" w:sz="6" w:space="0"/>
          <w:tr2bl w:val="nil"/>
        </w:tcBorders>
      </w:tcPr>
    </w:tblStylePr>
  </w:style>
  <w:style w:type="character" w:styleId="17">
    <w:name w:val="Strong"/>
    <w:basedOn w:val="16"/>
    <w:qFormat/>
    <w:uiPriority w:val="22"/>
    <w:rPr>
      <w:b/>
      <w:bCs/>
    </w:rPr>
  </w:style>
  <w:style w:type="character" w:styleId="18">
    <w:name w:val="annotation reference"/>
    <w:basedOn w:val="16"/>
    <w:qFormat/>
    <w:uiPriority w:val="0"/>
    <w:rPr>
      <w:sz w:val="21"/>
      <w:szCs w:val="21"/>
    </w:rPr>
  </w:style>
  <w:style w:type="character" w:customStyle="1" w:styleId="19">
    <w:name w:val="批注文字 Char"/>
    <w:basedOn w:val="16"/>
    <w:link w:val="4"/>
    <w:qFormat/>
    <w:uiPriority w:val="0"/>
    <w:rPr>
      <w:rFonts w:ascii="Calibri" w:hAnsi="Calibri" w:eastAsia="宋体" w:cs="Times New Roman"/>
      <w:kern w:val="2"/>
      <w:sz w:val="21"/>
      <w:szCs w:val="24"/>
    </w:rPr>
  </w:style>
  <w:style w:type="character" w:customStyle="1" w:styleId="20">
    <w:name w:val="纯文本 Char1"/>
    <w:basedOn w:val="16"/>
    <w:link w:val="5"/>
    <w:qFormat/>
    <w:uiPriority w:val="0"/>
    <w:rPr>
      <w:rFonts w:ascii="宋体" w:hAnsi="Courier New" w:cs="Courier New"/>
      <w:kern w:val="2"/>
      <w:sz w:val="21"/>
      <w:szCs w:val="21"/>
    </w:rPr>
  </w:style>
  <w:style w:type="character" w:customStyle="1" w:styleId="21">
    <w:name w:val="正文文本缩进 2 Char"/>
    <w:basedOn w:val="16"/>
    <w:link w:val="6"/>
    <w:qFormat/>
    <w:uiPriority w:val="0"/>
    <w:rPr>
      <w:rFonts w:ascii="宋体" w:hAnsi="宋体" w:eastAsia="仿宋_GB2312"/>
      <w:smallCaps/>
      <w:sz w:val="24"/>
      <w:szCs w:val="24"/>
    </w:rPr>
  </w:style>
  <w:style w:type="character" w:customStyle="1" w:styleId="22">
    <w:name w:val="批注框文本 Char"/>
    <w:basedOn w:val="16"/>
    <w:link w:val="7"/>
    <w:qFormat/>
    <w:uiPriority w:val="0"/>
    <w:rPr>
      <w:rFonts w:ascii="Calibri" w:hAnsi="Calibri" w:eastAsia="宋体" w:cs="Times New Roman"/>
      <w:kern w:val="2"/>
      <w:sz w:val="18"/>
      <w:szCs w:val="18"/>
    </w:rPr>
  </w:style>
  <w:style w:type="character" w:customStyle="1" w:styleId="23">
    <w:name w:val="页脚 Char"/>
    <w:basedOn w:val="16"/>
    <w:link w:val="8"/>
    <w:qFormat/>
    <w:uiPriority w:val="0"/>
    <w:rPr>
      <w:rFonts w:ascii="Calibri" w:hAnsi="Calibri" w:eastAsia="宋体" w:cs="Times New Roman"/>
      <w:kern w:val="2"/>
      <w:sz w:val="18"/>
      <w:szCs w:val="18"/>
    </w:rPr>
  </w:style>
  <w:style w:type="character" w:customStyle="1" w:styleId="24">
    <w:name w:val="页眉 Char"/>
    <w:basedOn w:val="16"/>
    <w:link w:val="9"/>
    <w:qFormat/>
    <w:uiPriority w:val="0"/>
    <w:rPr>
      <w:rFonts w:ascii="Calibri" w:hAnsi="Calibri" w:eastAsia="宋体" w:cs="Times New Roman"/>
      <w:kern w:val="2"/>
      <w:sz w:val="18"/>
      <w:szCs w:val="18"/>
    </w:rPr>
  </w:style>
  <w:style w:type="character" w:customStyle="1" w:styleId="25">
    <w:name w:val="批注主题 Char"/>
    <w:basedOn w:val="19"/>
    <w:link w:val="13"/>
    <w:qFormat/>
    <w:uiPriority w:val="0"/>
    <w:rPr>
      <w:rFonts w:ascii="Calibri" w:hAnsi="Calibri" w:eastAsia="宋体" w:cs="Times New Roman"/>
      <w:b/>
      <w:bCs/>
      <w:kern w:val="2"/>
      <w:sz w:val="21"/>
      <w:szCs w:val="24"/>
    </w:rPr>
  </w:style>
  <w:style w:type="paragraph" w:customStyle="1" w:styleId="26">
    <w:name w:val="标2"/>
    <w:basedOn w:val="1"/>
    <w:qFormat/>
    <w:uiPriority w:val="0"/>
    <w:pPr>
      <w:autoSpaceDE w:val="0"/>
      <w:adjustRightInd w:val="0"/>
      <w:ind w:firstLine="480"/>
      <w:jc w:val="center"/>
    </w:pPr>
    <w:rPr>
      <w:rFonts w:ascii="宋体"/>
      <w:color w:val="000000"/>
      <w:sz w:val="32"/>
    </w:rPr>
  </w:style>
  <w:style w:type="paragraph" w:styleId="27">
    <w:name w:val="List Paragraph"/>
    <w:basedOn w:val="1"/>
    <w:unhideWhenUsed/>
    <w:qFormat/>
    <w:uiPriority w:val="34"/>
    <w:pPr>
      <w:ind w:firstLine="420" w:firstLineChars="200"/>
    </w:pPr>
  </w:style>
  <w:style w:type="character" w:customStyle="1" w:styleId="28">
    <w:name w:val="纯文本 Char"/>
    <w:qFormat/>
    <w:uiPriority w:val="0"/>
    <w:rPr>
      <w:rFonts w:ascii="宋体" w:hAnsi="Courier New"/>
      <w:kern w:val="2"/>
      <w:sz w:val="21"/>
    </w:rPr>
  </w:style>
  <w:style w:type="character" w:customStyle="1" w:styleId="29">
    <w:name w:val="font11"/>
    <w:basedOn w:val="16"/>
    <w:qFormat/>
    <w:uiPriority w:val="0"/>
    <w:rPr>
      <w:rFonts w:hint="eastAsia" w:ascii="仿宋_GB2312" w:eastAsia="仿宋_GB2312" w:cs="仿宋_GB2312"/>
      <w:color w:val="000000"/>
      <w:sz w:val="21"/>
      <w:szCs w:val="21"/>
      <w:u w:val="none"/>
    </w:rPr>
  </w:style>
  <w:style w:type="character" w:customStyle="1" w:styleId="30">
    <w:name w:val="font21"/>
    <w:basedOn w:val="16"/>
    <w:qFormat/>
    <w:uiPriority w:val="0"/>
    <w:rPr>
      <w:rFonts w:hint="eastAsia" w:ascii="仿宋_GB2312" w:eastAsia="仿宋_GB2312" w:cs="仿宋_GB2312"/>
      <w:b/>
      <w:bCs/>
      <w:color w:val="000000"/>
      <w:sz w:val="24"/>
      <w:szCs w:val="24"/>
      <w:u w:val="none"/>
    </w:rPr>
  </w:style>
  <w:style w:type="character" w:customStyle="1" w:styleId="31">
    <w:name w:val="font41"/>
    <w:basedOn w:val="16"/>
    <w:qFormat/>
    <w:uiPriority w:val="0"/>
    <w:rPr>
      <w:rFonts w:hint="eastAsia" w:ascii="仿宋_GB2312" w:eastAsia="仿宋_GB2312" w:cs="仿宋_GB2312"/>
      <w:color w:val="000000"/>
      <w:sz w:val="24"/>
      <w:szCs w:val="24"/>
      <w:u w:val="none"/>
    </w:rPr>
  </w:style>
  <w:style w:type="character" w:customStyle="1" w:styleId="32">
    <w:name w:val="font31"/>
    <w:basedOn w:val="16"/>
    <w:qFormat/>
    <w:uiPriority w:val="0"/>
    <w:rPr>
      <w:rFonts w:hint="eastAsia" w:ascii="仿宋_GB2312" w:eastAsia="仿宋_GB2312" w:cs="仿宋_GB2312"/>
      <w:color w:val="000000"/>
      <w:sz w:val="21"/>
      <w:szCs w:val="21"/>
      <w:u w:val="none"/>
    </w:rPr>
  </w:style>
  <w:style w:type="paragraph" w:customStyle="1" w:styleId="33">
    <w:name w:val="表格文字"/>
    <w:basedOn w:val="34"/>
    <w:qFormat/>
    <w:uiPriority w:val="0"/>
    <w:pPr>
      <w:spacing w:beforeLines="0"/>
      <w:jc w:val="both"/>
    </w:pPr>
    <w:rPr>
      <w:b w:val="0"/>
      <w:sz w:val="21"/>
    </w:rPr>
  </w:style>
  <w:style w:type="paragraph" w:customStyle="1" w:styleId="34">
    <w:name w:val="表格标题"/>
    <w:basedOn w:val="1"/>
    <w:qFormat/>
    <w:uiPriority w:val="0"/>
    <w:pPr>
      <w:spacing w:beforeLines="50"/>
      <w:jc w:val="center"/>
    </w:pPr>
    <w:rPr>
      <w:rFonts w:ascii="Times New Roman" w:hAnsi="Times New Roman" w:eastAsia="仿宋_GB2312" w:cs="Times New Roman"/>
      <w:b/>
      <w:sz w:val="24"/>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1868</Words>
  <Characters>1987</Characters>
  <Lines>18</Lines>
  <Paragraphs>5</Paragraphs>
  <TotalTime>20</TotalTime>
  <ScaleCrop>false</ScaleCrop>
  <LinksUpToDate>false</LinksUpToDate>
  <CharactersWithSpaces>2056</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2022-04-11T07:26:00Z</dcterms:created>
  <dc:creator>Administrator</dc:creator>
  <cp:lastModifiedBy>政务公开</cp:lastModifiedBy>
  <cp:lastPrinted>2020-03-24T01:05:00Z</cp:lastPrinted>
  <dcterms:modified xsi:type="dcterms:W3CDTF">2024-09-12T00:54:57Z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CE384A87069242749C367D7817A629B5_13</vt:lpwstr>
  </property>
</Properties>
</file>