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_GB2312" w:eastAsia="仿宋_GB2312"/>
          <w:sz w:val="32"/>
          <w:szCs w:val="32"/>
        </w:rPr>
      </w:pPr>
      <w:r>
        <w:rPr>
          <w:rFonts w:hint="eastAsia" w:ascii="仿宋_GB2312" w:eastAsia="仿宋_GB2312"/>
          <w:sz w:val="32"/>
          <w:szCs w:val="32"/>
        </w:rPr>
        <w:t>牡政规〔202</w:t>
      </w:r>
      <w:r>
        <w:rPr>
          <w:rFonts w:hint="default" w:ascii="仿宋_GB2312" w:eastAsia="仿宋_GB2312"/>
          <w:sz w:val="32"/>
          <w:szCs w:val="32"/>
        </w:rPr>
        <w:t>4</w:t>
      </w:r>
      <w:r>
        <w:rPr>
          <w:rFonts w:hint="eastAsia" w:ascii="仿宋_GB2312" w:eastAsia="仿宋_GB2312"/>
          <w:sz w:val="32"/>
          <w:szCs w:val="32"/>
        </w:rPr>
        <w:t>〕</w:t>
      </w:r>
      <w:r>
        <w:rPr>
          <w:rFonts w:hint="default" w:ascii="仿宋_GB2312" w:eastAsia="仿宋_GB2312"/>
          <w:sz w:val="32"/>
          <w:szCs w:val="32"/>
        </w:rPr>
        <w:t>3</w:t>
      </w:r>
      <w:r>
        <w:rPr>
          <w:rFonts w:hint="eastAsia" w:ascii="仿宋_GB2312"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eastAsia="仿宋_GB2312"/>
          <w:sz w:val="32"/>
          <w:szCs w:val="32"/>
        </w:rPr>
      </w:pPr>
      <w:r>
        <w:rPr>
          <w:rFonts w:hint="eastAsia" w:ascii="仿宋_GB2312" w:eastAsia="仿宋_GB2312"/>
          <w:sz w:val="32"/>
          <w:szCs w:val="32"/>
        </w:rPr>
        <w:t xml:space="preserve">                     </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牡丹江市人民政府关于</w:t>
      </w:r>
      <w:r>
        <w:rPr>
          <w:rFonts w:hint="eastAsia" w:ascii="方正小标宋简体" w:hAnsi="方正小标宋简体" w:eastAsia="方正小标宋简体" w:cs="方正小标宋简体"/>
          <w:b w:val="0"/>
          <w:bCs w:val="0"/>
          <w:sz w:val="44"/>
          <w:szCs w:val="44"/>
          <w:lang w:eastAsia="zh-CN"/>
        </w:rPr>
        <w:t>印发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shd w:val="clear" w:color="auto" w:fill="auto"/>
          <w:lang w:val="en-US" w:eastAsia="zh-CN"/>
        </w:rPr>
      </w:pPr>
      <w:r>
        <w:rPr>
          <w:rFonts w:hint="eastAsia" w:ascii="方正小标宋简体" w:hAnsi="方正小标宋简体" w:eastAsia="方正小标宋简体" w:cs="方正小标宋简体"/>
          <w:b w:val="0"/>
          <w:bCs w:val="0"/>
          <w:sz w:val="44"/>
          <w:szCs w:val="44"/>
          <w:shd w:val="clear" w:color="auto" w:fill="auto"/>
          <w:lang w:val="en-US" w:eastAsia="zh-CN"/>
        </w:rPr>
        <w:t>牡丹江市促进个体工商户高质量发展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shd w:val="clear" w:color="auto" w:fill="auto"/>
          <w:lang w:eastAsia="zh-CN"/>
        </w:rPr>
      </w:pPr>
      <w:r>
        <w:rPr>
          <w:rFonts w:hint="eastAsia" w:ascii="方正小标宋简体" w:hAnsi="方正小标宋简体" w:eastAsia="方正小标宋简体" w:cs="方正小标宋简体"/>
          <w:b w:val="0"/>
          <w:bCs w:val="0"/>
          <w:sz w:val="44"/>
          <w:szCs w:val="44"/>
          <w:shd w:val="clear" w:color="auto" w:fill="auto"/>
          <w:lang w:val="en-US" w:eastAsia="zh-CN"/>
        </w:rPr>
        <w:t>若干政策措施</w:t>
      </w:r>
      <w:r>
        <w:rPr>
          <w:rFonts w:hint="eastAsia" w:ascii="方正小标宋简体" w:hAnsi="方正小标宋简体" w:eastAsia="方正小标宋简体" w:cs="方正小标宋简体"/>
          <w:b w:val="0"/>
          <w:bCs w:val="0"/>
          <w:sz w:val="44"/>
          <w:szCs w:val="44"/>
          <w:shd w:val="clear" w:color="auto" w:fill="auto"/>
          <w:lang w:eastAsia="zh-CN"/>
        </w:rPr>
        <w:t>的通知</w:t>
      </w:r>
    </w:p>
    <w:p>
      <w:pPr>
        <w:pStyle w:val="3"/>
        <w:keepNext w:val="0"/>
        <w:keepLines w:val="0"/>
        <w:pageBreakBefore w:val="0"/>
        <w:kinsoku/>
        <w:wordWrap/>
        <w:overflowPunct/>
        <w:topLinePunct w:val="0"/>
        <w:autoSpaceDE/>
        <w:autoSpaceDN/>
        <w:bidi w:val="0"/>
        <w:adjustRightInd/>
        <w:snapToGrid/>
        <w:spacing w:line="560" w:lineRule="exact"/>
        <w:textAlignment w:val="auto"/>
        <w:rPr>
          <w:rFonts w:hint="eastAsia"/>
          <w:lang w:eastAsia="zh-CN"/>
        </w:rPr>
      </w:pPr>
    </w:p>
    <w:p>
      <w:pPr>
        <w:keepNext w:val="0"/>
        <w:keepLines w:val="0"/>
        <w:pageBreakBefore w:val="0"/>
        <w:kinsoku/>
        <w:wordWrap/>
        <w:overflowPunct/>
        <w:topLinePunct w:val="0"/>
        <w:autoSpaceDE/>
        <w:autoSpaceDN/>
        <w:bidi w:val="0"/>
        <w:adjustRightInd/>
        <w:snapToGrid/>
        <w:spacing w:line="560" w:lineRule="exact"/>
        <w:textAlignment w:val="auto"/>
        <w:rPr>
          <w:rFonts w:ascii="楷体_GB2312" w:eastAsia="楷体_GB2312"/>
          <w:kern w:val="0"/>
          <w:sz w:val="32"/>
          <w:szCs w:val="32"/>
        </w:rPr>
      </w:pPr>
      <w:r>
        <w:rPr>
          <w:rFonts w:hint="eastAsia" w:ascii="楷体_GB2312" w:eastAsia="楷体_GB2312"/>
          <w:kern w:val="0"/>
          <w:sz w:val="32"/>
          <w:szCs w:val="32"/>
        </w:rPr>
        <w:t>各县（市）</w:t>
      </w:r>
      <w:r>
        <w:rPr>
          <w:rFonts w:hint="default" w:ascii="楷体_GB2312" w:eastAsia="楷体_GB2312"/>
          <w:kern w:val="0"/>
          <w:sz w:val="32"/>
          <w:szCs w:val="32"/>
        </w:rPr>
        <w:t>、区</w:t>
      </w:r>
      <w:r>
        <w:rPr>
          <w:rFonts w:hint="eastAsia" w:ascii="楷体_GB2312" w:eastAsia="楷体_GB2312"/>
          <w:kern w:val="0"/>
          <w:sz w:val="32"/>
          <w:szCs w:val="32"/>
        </w:rPr>
        <w:t>人民政府，市政府各</w:t>
      </w:r>
      <w:r>
        <w:rPr>
          <w:rFonts w:hint="default" w:ascii="楷体_GB2312" w:eastAsia="楷体_GB2312"/>
          <w:kern w:val="0"/>
          <w:sz w:val="32"/>
          <w:szCs w:val="32"/>
        </w:rPr>
        <w:t>有关</w:t>
      </w:r>
      <w:r>
        <w:rPr>
          <w:rFonts w:hint="eastAsia" w:ascii="楷体_GB2312" w:eastAsia="楷体_GB2312"/>
          <w:kern w:val="0"/>
          <w:sz w:val="32"/>
          <w:szCs w:val="32"/>
        </w:rPr>
        <w:t>直属单位：</w:t>
      </w:r>
    </w:p>
    <w:p>
      <w:pPr>
        <w:keepNext w:val="0"/>
        <w:keepLines w:val="0"/>
        <w:pageBreakBefore w:val="0"/>
        <w:widowControl/>
        <w:kinsoku/>
        <w:wordWrap/>
        <w:overflowPunct/>
        <w:topLinePunct w:val="0"/>
        <w:autoSpaceDE/>
        <w:autoSpaceDN/>
        <w:bidi w:val="0"/>
        <w:adjustRightInd/>
        <w:spacing w:line="560" w:lineRule="exact"/>
        <w:ind w:firstLine="640" w:firstLineChars="200"/>
        <w:jc w:val="both"/>
        <w:rPr>
          <w:rFonts w:ascii="楷体_GB2312" w:hAnsi="Times New Roman" w:eastAsia="楷体_GB2312" w:cs="Times New Roman"/>
          <w:sz w:val="32"/>
          <w:szCs w:val="32"/>
          <w:shd w:val="clear" w:color="auto" w:fill="FFFFFF"/>
        </w:rPr>
      </w:pPr>
      <w:r>
        <w:rPr>
          <w:rFonts w:hint="default" w:ascii="楷体_GB2312" w:hAnsi="华文仿宋" w:eastAsia="楷体_GB2312" w:cs="楷体_GB2312"/>
          <w:sz w:val="32"/>
          <w:szCs w:val="32"/>
        </w:rPr>
        <w:t>《</w:t>
      </w:r>
      <w:r>
        <w:rPr>
          <w:rFonts w:hint="default" w:ascii="楷体_GB2312" w:hAnsi="华文仿宋" w:eastAsia="楷体_GB2312" w:cs="楷体_GB2312"/>
          <w:color w:val="auto"/>
          <w:sz w:val="32"/>
          <w:szCs w:val="32"/>
          <w:lang w:val="en-US" w:eastAsia="zh-CN"/>
        </w:rPr>
        <w:t>牡丹江市促进个体工商户高质量发展若干政策措施</w:t>
      </w:r>
      <w:r>
        <w:rPr>
          <w:rFonts w:hint="eastAsia" w:ascii="楷体_GB2312" w:hAnsi="华文仿宋" w:eastAsia="楷体_GB2312" w:cs="楷体_GB2312"/>
          <w:sz w:val="32"/>
          <w:szCs w:val="32"/>
        </w:rPr>
        <w:t>》</w:t>
      </w:r>
      <w:r>
        <w:rPr>
          <w:rFonts w:hint="default" w:ascii="楷体_GB2312" w:hAnsi="华文仿宋" w:eastAsia="楷体_GB2312" w:cs="楷体_GB2312"/>
          <w:sz w:val="32"/>
          <w:szCs w:val="32"/>
        </w:rPr>
        <w:t>已经市政府第17届54次常务会议讨论通过，现</w:t>
      </w:r>
      <w:r>
        <w:rPr>
          <w:rFonts w:hint="eastAsia" w:ascii="楷体_GB2312" w:hAnsi="华文仿宋" w:eastAsia="楷体_GB2312" w:cs="楷体_GB2312"/>
          <w:sz w:val="32"/>
          <w:szCs w:val="32"/>
        </w:rPr>
        <w:t>印发给你们，</w:t>
      </w:r>
      <w:r>
        <w:rPr>
          <w:rFonts w:hint="default" w:ascii="楷体_GB2312" w:hAnsi="华文仿宋" w:eastAsia="楷体_GB2312" w:cs="楷体_GB2312"/>
          <w:sz w:val="32"/>
          <w:szCs w:val="32"/>
        </w:rPr>
        <w:t>请</w:t>
      </w:r>
      <w:r>
        <w:rPr>
          <w:rFonts w:hint="eastAsia" w:ascii="楷体_GB2312" w:hAnsi="华文仿宋" w:eastAsia="楷体_GB2312" w:cs="楷体_GB2312"/>
          <w:sz w:val="32"/>
          <w:szCs w:val="32"/>
        </w:rPr>
        <w:t>认真贯彻执行。</w:t>
      </w:r>
    </w:p>
    <w:p>
      <w:pPr>
        <w:keepNext w:val="0"/>
        <w:keepLines w:val="0"/>
        <w:pageBreakBefore w:val="0"/>
        <w:kinsoku/>
        <w:wordWrap/>
        <w:overflowPunct/>
        <w:topLinePunct w:val="0"/>
        <w:autoSpaceDE/>
        <w:autoSpaceDN/>
        <w:bidi w:val="0"/>
        <w:adjustRightInd/>
        <w:snapToGrid/>
        <w:spacing w:line="560" w:lineRule="exact"/>
        <w:textAlignment w:val="auto"/>
        <w:rPr>
          <w:rFonts w:ascii="楷体_GB2312" w:hAnsi="华文仿宋" w:eastAsia="楷体_GB2312"/>
          <w:sz w:val="32"/>
          <w:szCs w:val="32"/>
        </w:rPr>
      </w:pPr>
    </w:p>
    <w:p>
      <w:pPr>
        <w:pStyle w:val="3"/>
      </w:pPr>
    </w:p>
    <w:p>
      <w:pPr>
        <w:keepNext w:val="0"/>
        <w:keepLines w:val="0"/>
        <w:pageBreakBefore w:val="0"/>
        <w:kinsoku/>
        <w:wordWrap/>
        <w:overflowPunct/>
        <w:topLinePunct w:val="0"/>
        <w:autoSpaceDE/>
        <w:autoSpaceDN/>
        <w:bidi w:val="0"/>
        <w:adjustRightInd/>
        <w:snapToGrid/>
        <w:spacing w:line="560" w:lineRule="exact"/>
        <w:textAlignment w:val="auto"/>
        <w:rPr>
          <w:rFonts w:ascii="楷体_GB2312" w:hAnsi="华文仿宋" w:eastAsia="楷体_GB2312"/>
          <w:sz w:val="32"/>
          <w:szCs w:val="32"/>
        </w:rPr>
      </w:pP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牡丹江市人民政府</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楷体_GB2312" w:hAnsi="华文仿宋" w:eastAsia="楷体_GB2312" w:cs="楷体_GB2312"/>
          <w:sz w:val="32"/>
          <w:szCs w:val="32"/>
        </w:rPr>
      </w:pP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 xml:space="preserve"> </w:t>
      </w:r>
      <w:r>
        <w:rPr>
          <w:rFonts w:hint="default" w:ascii="楷体_GB2312" w:hAnsi="华文仿宋" w:eastAsia="楷体_GB2312" w:cs="楷体_GB2312"/>
          <w:sz w:val="32"/>
          <w:szCs w:val="32"/>
        </w:rPr>
        <w:t xml:space="preserve"> </w:t>
      </w:r>
      <w:r>
        <w:rPr>
          <w:rFonts w:ascii="楷体_GB2312" w:hAnsi="华文仿宋" w:eastAsia="楷体_GB2312" w:cs="楷体_GB2312"/>
          <w:sz w:val="32"/>
          <w:szCs w:val="32"/>
        </w:rPr>
        <w:t>20</w:t>
      </w:r>
      <w:r>
        <w:rPr>
          <w:rFonts w:hint="eastAsia" w:ascii="楷体_GB2312" w:hAnsi="华文仿宋" w:eastAsia="楷体_GB2312" w:cs="楷体_GB2312"/>
          <w:sz w:val="32"/>
          <w:szCs w:val="32"/>
        </w:rPr>
        <w:t>2</w:t>
      </w:r>
      <w:r>
        <w:rPr>
          <w:rFonts w:hint="default" w:ascii="楷体_GB2312" w:hAnsi="华文仿宋" w:eastAsia="楷体_GB2312" w:cs="楷体_GB2312"/>
          <w:sz w:val="32"/>
          <w:szCs w:val="32"/>
        </w:rPr>
        <w:t>4</w:t>
      </w:r>
      <w:r>
        <w:rPr>
          <w:rFonts w:hint="eastAsia" w:ascii="楷体_GB2312" w:hAnsi="华文仿宋" w:eastAsia="楷体_GB2312" w:cs="楷体_GB2312"/>
          <w:sz w:val="32"/>
          <w:szCs w:val="32"/>
        </w:rPr>
        <w:t>年</w:t>
      </w:r>
      <w:r>
        <w:rPr>
          <w:rFonts w:hint="default" w:ascii="楷体_GB2312" w:hAnsi="华文仿宋" w:eastAsia="楷体_GB2312" w:cs="楷体_GB2312"/>
          <w:sz w:val="32"/>
          <w:szCs w:val="32"/>
        </w:rPr>
        <w:t>8月15</w:t>
      </w:r>
      <w:r>
        <w:rPr>
          <w:rFonts w:hint="eastAsia" w:ascii="楷体_GB2312" w:hAnsi="华文仿宋" w:eastAsia="楷体_GB2312" w:cs="楷体_GB2312"/>
          <w:sz w:val="32"/>
          <w:szCs w:val="32"/>
        </w:rPr>
        <w:t>日</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shd w:val="clear" w:color="auto" w:fill="auto"/>
          <w:lang w:val="en-US" w:eastAsia="zh-CN"/>
        </w:rPr>
        <w:sectPr>
          <w:pgSz w:w="11906" w:h="16838"/>
          <w:pgMar w:top="2098" w:right="1474" w:bottom="1984" w:left="1587" w:header="851" w:footer="992" w:gutter="0"/>
          <w:cols w:space="720"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shd w:val="clear" w:color="auto" w:fill="auto"/>
          <w:lang w:val="en-US" w:eastAsia="zh-CN"/>
        </w:rPr>
      </w:pPr>
      <w:r>
        <w:rPr>
          <w:rFonts w:hint="eastAsia" w:ascii="方正小标宋简体" w:hAnsi="方正小标宋简体" w:eastAsia="方正小标宋简体" w:cs="方正小标宋简体"/>
          <w:b w:val="0"/>
          <w:bCs w:val="0"/>
          <w:sz w:val="44"/>
          <w:szCs w:val="44"/>
          <w:shd w:val="clear" w:color="auto" w:fill="auto"/>
          <w:lang w:val="en-US" w:eastAsia="zh-CN"/>
        </w:rPr>
        <w:t>牡丹江市促进个体工商户高质量发展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shd w:val="clear" w:color="auto" w:fill="auto"/>
          <w:lang w:val="en-US" w:eastAsia="zh-CN"/>
        </w:rPr>
      </w:pPr>
      <w:r>
        <w:rPr>
          <w:rFonts w:hint="eastAsia" w:ascii="方正小标宋简体" w:hAnsi="方正小标宋简体" w:eastAsia="方正小标宋简体" w:cs="方正小标宋简体"/>
          <w:b w:val="0"/>
          <w:bCs w:val="0"/>
          <w:sz w:val="44"/>
          <w:szCs w:val="44"/>
          <w:shd w:val="clear" w:color="auto" w:fill="auto"/>
          <w:lang w:val="en-US" w:eastAsia="zh-CN"/>
        </w:rPr>
        <w:t>若干政策措施</w:t>
      </w:r>
    </w:p>
    <w:p>
      <w:pPr>
        <w:pStyle w:val="3"/>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仿宋_GB2312" w:hAnsi="仿宋_GB2312" w:eastAsia="仿宋_GB2312" w:cs="仿宋_GB2312"/>
          <w:b w:val="0"/>
          <w:bCs w:val="0"/>
          <w:color w:val="auto"/>
          <w:sz w:val="32"/>
          <w:szCs w:val="32"/>
          <w:highlight w:val="none"/>
          <w:shd w:val="clear" w:color="auto" w:fill="auto"/>
          <w:lang w:val="en-US" w:eastAsia="zh-CN"/>
        </w:rPr>
        <w:t>为深入贯彻落实习近平总书记视察</w:t>
      </w:r>
      <w:r>
        <w:rPr>
          <w:rFonts w:hint="default" w:ascii="仿宋_GB2312" w:hAnsi="仿宋_GB2312" w:eastAsia="仿宋_GB2312" w:cs="仿宋_GB2312"/>
          <w:b w:val="0"/>
          <w:bCs w:val="0"/>
          <w:color w:val="auto"/>
          <w:sz w:val="32"/>
          <w:szCs w:val="32"/>
          <w:highlight w:val="none"/>
          <w:shd w:val="clear" w:color="auto" w:fill="auto"/>
          <w:lang w:eastAsia="zh-CN"/>
        </w:rPr>
        <w:t>我</w:t>
      </w:r>
      <w:r>
        <w:rPr>
          <w:rFonts w:hint="eastAsia" w:ascii="仿宋_GB2312" w:hAnsi="仿宋_GB2312" w:eastAsia="仿宋_GB2312" w:cs="仿宋_GB2312"/>
          <w:b w:val="0"/>
          <w:bCs w:val="0"/>
          <w:color w:val="auto"/>
          <w:sz w:val="32"/>
          <w:szCs w:val="32"/>
          <w:highlight w:val="none"/>
          <w:shd w:val="clear" w:color="auto" w:fill="auto"/>
          <w:lang w:val="en-US" w:eastAsia="zh-CN"/>
        </w:rPr>
        <w:t>省期间重要讲话重要指示精神，全面落实《促进个体工商户发展条例》（国务院令第755号），按照市委十三届五次全会关于“完善促进中小微企业和个体工商户发展政策体系”的部署要求，更大力度推动全市个体工商户稳存量、扩增量、提质量，</w:t>
      </w:r>
      <w:r>
        <w:rPr>
          <w:rFonts w:hint="eastAsia" w:ascii="仿宋_GB2312" w:hAnsi="仿宋_GB2312" w:eastAsia="仿宋_GB2312" w:cs="仿宋_GB2312"/>
          <w:b w:val="0"/>
          <w:bCs w:val="0"/>
          <w:color w:val="auto"/>
          <w:sz w:val="32"/>
          <w:szCs w:val="32"/>
          <w:highlight w:val="none"/>
          <w:shd w:val="clear" w:color="auto" w:fill="auto"/>
          <w:lang w:eastAsia="zh-CN"/>
        </w:rPr>
        <w:t>结合我市实际，</w:t>
      </w:r>
      <w:r>
        <w:rPr>
          <w:rFonts w:hint="eastAsia" w:ascii="仿宋_GB2312" w:hAnsi="仿宋_GB2312" w:eastAsia="仿宋_GB2312" w:cs="仿宋_GB2312"/>
          <w:b w:val="0"/>
          <w:bCs w:val="0"/>
          <w:color w:val="auto"/>
          <w:sz w:val="32"/>
          <w:szCs w:val="32"/>
          <w:highlight w:val="none"/>
          <w:shd w:val="clear" w:color="auto" w:fill="auto"/>
          <w:lang w:val="en-US" w:eastAsia="zh-CN"/>
        </w:rPr>
        <w:t>制定如下政策措施。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color w:val="auto"/>
          <w:sz w:val="32"/>
          <w:szCs w:val="32"/>
          <w:highlight w:val="none"/>
          <w:shd w:val="clear" w:color="auto" w:fill="auto"/>
          <w:lang w:val="en-US" w:eastAsia="zh-CN"/>
        </w:rPr>
      </w:pPr>
      <w:r>
        <w:rPr>
          <w:rFonts w:hint="eastAsia" w:ascii="黑体" w:hAnsi="黑体" w:eastAsia="黑体" w:cs="黑体"/>
          <w:b w:val="0"/>
          <w:bCs w:val="0"/>
          <w:color w:val="auto"/>
          <w:sz w:val="32"/>
          <w:szCs w:val="32"/>
          <w:highlight w:val="none"/>
          <w:shd w:val="clear" w:color="auto" w:fill="auto"/>
          <w:lang w:val="en-US" w:eastAsia="zh-CN"/>
        </w:rPr>
        <w:t>一、积极稳定个体工商户发展存量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1.落实歇业备案制度。</w:t>
      </w:r>
      <w:r>
        <w:rPr>
          <w:rFonts w:hint="eastAsia" w:ascii="仿宋_GB2312" w:hAnsi="仿宋_GB2312" w:eastAsia="仿宋_GB2312" w:cs="仿宋_GB2312"/>
          <w:b w:val="0"/>
          <w:bCs w:val="0"/>
          <w:color w:val="auto"/>
          <w:sz w:val="32"/>
          <w:szCs w:val="32"/>
          <w:highlight w:val="none"/>
          <w:shd w:val="clear" w:color="auto" w:fill="auto"/>
          <w:lang w:val="en-US" w:eastAsia="zh-CN"/>
        </w:rPr>
        <w:t>对</w:t>
      </w:r>
      <w:r>
        <w:rPr>
          <w:rFonts w:hint="eastAsia" w:ascii="仿宋_GB2312" w:hAnsi="仿宋_GB2312" w:eastAsia="仿宋_GB2312" w:cs="仿宋_GB2312"/>
          <w:b w:val="0"/>
          <w:bCs w:val="0"/>
          <w:color w:val="auto"/>
          <w:sz w:val="32"/>
          <w:szCs w:val="32"/>
          <w:highlight w:val="none"/>
          <w:shd w:val="clear" w:color="auto" w:fill="auto"/>
          <w:lang w:eastAsia="zh-CN"/>
        </w:rPr>
        <w:t>因自然灾害、事故灾难、公共卫生事件、社会安全事件等原因造成的，</w:t>
      </w:r>
      <w:r>
        <w:rPr>
          <w:rFonts w:hint="eastAsia" w:ascii="仿宋_GB2312" w:hAnsi="仿宋_GB2312" w:eastAsia="仿宋_GB2312" w:cs="仿宋_GB2312"/>
          <w:b w:val="0"/>
          <w:bCs w:val="0"/>
          <w:color w:val="auto"/>
          <w:sz w:val="32"/>
          <w:szCs w:val="32"/>
          <w:highlight w:val="none"/>
          <w:shd w:val="clear" w:color="auto" w:fill="auto"/>
          <w:lang w:val="en-US" w:eastAsia="zh-CN"/>
        </w:rPr>
        <w:t>确实有生产经营困难的个体工商户，提供缓冲性政策，推行歇业备案制度，允许</w:t>
      </w:r>
      <w:r>
        <w:rPr>
          <w:rFonts w:hint="eastAsia" w:ascii="仿宋_GB2312" w:hAnsi="仿宋_GB2312" w:eastAsia="仿宋_GB2312" w:cs="仿宋_GB2312"/>
          <w:b w:val="0"/>
          <w:bCs w:val="0"/>
          <w:color w:val="auto"/>
          <w:sz w:val="32"/>
          <w:szCs w:val="32"/>
          <w:highlight w:val="none"/>
          <w:shd w:val="clear" w:color="auto" w:fill="auto"/>
          <w:lang w:eastAsia="zh-CN"/>
        </w:rPr>
        <w:t>办理</w:t>
      </w:r>
      <w:r>
        <w:rPr>
          <w:rFonts w:hint="eastAsia" w:ascii="仿宋_GB2312" w:hAnsi="仿宋_GB2312" w:eastAsia="仿宋_GB2312" w:cs="仿宋_GB2312"/>
          <w:b w:val="0"/>
          <w:bCs w:val="0"/>
          <w:color w:val="auto"/>
          <w:sz w:val="32"/>
          <w:szCs w:val="32"/>
          <w:highlight w:val="none"/>
          <w:shd w:val="clear" w:color="auto" w:fill="auto"/>
          <w:lang w:val="en-US" w:eastAsia="zh-CN"/>
        </w:rPr>
        <w:t>备案</w:t>
      </w:r>
      <w:r>
        <w:rPr>
          <w:rFonts w:hint="eastAsia" w:ascii="仿宋_GB2312" w:hAnsi="仿宋_GB2312" w:eastAsia="仿宋_GB2312" w:cs="仿宋_GB2312"/>
          <w:b w:val="0"/>
          <w:bCs w:val="0"/>
          <w:color w:val="auto"/>
          <w:sz w:val="32"/>
          <w:szCs w:val="32"/>
          <w:highlight w:val="none"/>
          <w:shd w:val="clear" w:color="auto" w:fill="auto"/>
          <w:lang w:eastAsia="zh-CN"/>
        </w:rPr>
        <w:t>手续后</w:t>
      </w:r>
      <w:r>
        <w:rPr>
          <w:rFonts w:hint="eastAsia" w:ascii="仿宋_GB2312" w:hAnsi="仿宋_GB2312" w:eastAsia="仿宋_GB2312" w:cs="仿宋_GB2312"/>
          <w:b w:val="0"/>
          <w:bCs w:val="0"/>
          <w:color w:val="auto"/>
          <w:sz w:val="32"/>
          <w:szCs w:val="32"/>
          <w:highlight w:val="none"/>
          <w:shd w:val="clear" w:color="auto" w:fill="auto"/>
          <w:lang w:val="en-US" w:eastAsia="zh-CN"/>
        </w:rPr>
        <w:t>歇业，营业执照效力不变，</w:t>
      </w:r>
      <w:r>
        <w:rPr>
          <w:rFonts w:hint="eastAsia" w:ascii="仿宋_GB2312" w:hAnsi="仿宋_GB2312" w:eastAsia="仿宋_GB2312" w:cs="仿宋_GB2312"/>
          <w:b w:val="0"/>
          <w:bCs w:val="0"/>
          <w:color w:val="auto"/>
          <w:sz w:val="32"/>
          <w:szCs w:val="32"/>
          <w:highlight w:val="none"/>
          <w:u w:val="none"/>
          <w:shd w:val="clear" w:color="auto" w:fill="auto"/>
          <w:lang w:eastAsia="zh-CN"/>
        </w:rPr>
        <w:t>降低</w:t>
      </w:r>
      <w:r>
        <w:rPr>
          <w:rFonts w:hint="eastAsia" w:ascii="仿宋_GB2312" w:hAnsi="仿宋_GB2312" w:eastAsia="仿宋_GB2312" w:cs="仿宋_GB2312"/>
          <w:b w:val="0"/>
          <w:bCs w:val="0"/>
          <w:color w:val="auto"/>
          <w:sz w:val="32"/>
          <w:szCs w:val="32"/>
          <w:highlight w:val="none"/>
          <w:shd w:val="clear" w:color="auto" w:fill="auto"/>
          <w:lang w:val="en-US" w:eastAsia="zh-CN"/>
        </w:rPr>
        <w:t>经营</w:t>
      </w:r>
      <w:r>
        <w:rPr>
          <w:rFonts w:hint="eastAsia" w:ascii="仿宋_GB2312" w:hAnsi="仿宋_GB2312" w:eastAsia="仿宋_GB2312" w:cs="仿宋_GB2312"/>
          <w:b w:val="0"/>
          <w:bCs w:val="0"/>
          <w:color w:val="auto"/>
          <w:sz w:val="32"/>
          <w:szCs w:val="32"/>
          <w:highlight w:val="none"/>
          <w:u w:val="none"/>
          <w:shd w:val="clear" w:color="auto" w:fill="auto"/>
          <w:lang w:eastAsia="zh-CN"/>
        </w:rPr>
        <w:t>主体维持成本，助力</w:t>
      </w:r>
      <w:r>
        <w:rPr>
          <w:rFonts w:hint="eastAsia" w:ascii="仿宋_GB2312" w:hAnsi="仿宋_GB2312" w:eastAsia="仿宋_GB2312" w:cs="仿宋_GB2312"/>
          <w:b w:val="0"/>
          <w:bCs w:val="0"/>
          <w:color w:val="auto"/>
          <w:sz w:val="32"/>
          <w:szCs w:val="32"/>
          <w:highlight w:val="none"/>
          <w:shd w:val="clear" w:color="auto" w:fill="auto"/>
          <w:lang w:val="en-US" w:eastAsia="zh-CN"/>
        </w:rPr>
        <w:t>经营</w:t>
      </w:r>
      <w:r>
        <w:rPr>
          <w:rFonts w:hint="eastAsia" w:ascii="仿宋_GB2312" w:hAnsi="仿宋_GB2312" w:eastAsia="仿宋_GB2312" w:cs="仿宋_GB2312"/>
          <w:b w:val="0"/>
          <w:bCs w:val="0"/>
          <w:color w:val="auto"/>
          <w:sz w:val="32"/>
          <w:szCs w:val="32"/>
          <w:highlight w:val="none"/>
          <w:u w:val="none"/>
          <w:shd w:val="clear" w:color="auto" w:fill="auto"/>
          <w:lang w:eastAsia="zh-CN"/>
        </w:rPr>
        <w:t>主体合法合规渡过难关，</w:t>
      </w:r>
      <w:r>
        <w:rPr>
          <w:rFonts w:hint="eastAsia" w:ascii="仿宋_GB2312" w:hAnsi="仿宋_GB2312" w:eastAsia="仿宋_GB2312" w:cs="仿宋_GB2312"/>
          <w:b w:val="0"/>
          <w:bCs w:val="0"/>
          <w:color w:val="auto"/>
          <w:sz w:val="32"/>
          <w:szCs w:val="32"/>
          <w:highlight w:val="none"/>
          <w:shd w:val="clear" w:color="auto" w:fill="auto"/>
          <w:lang w:val="en-US" w:eastAsia="zh-CN"/>
        </w:rPr>
        <w:t>待经营条件好转,重新开展经营活动。</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：市市场监管局，责任单位：市税务局、市人社局、市住房公积金管理中心等部门〕</w:t>
      </w:r>
    </w:p>
    <w:p>
      <w:pPr>
        <w:pStyle w:val="3"/>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642" w:firstLineChars="200"/>
        <w:jc w:val="both"/>
        <w:textAlignment w:val="auto"/>
        <w:rPr>
          <w:rFonts w:hint="eastAsia" w:ascii="仿宋_GB2312" w:hAnsi="仿宋_GB2312" w:eastAsia="仿宋_GB2312" w:cs="仿宋_GB2312"/>
          <w:b/>
          <w:bCs/>
          <w:color w:val="auto"/>
          <w:kern w:val="2"/>
          <w:sz w:val="32"/>
          <w:szCs w:val="32"/>
          <w:highlight w:val="none"/>
          <w:shd w:val="clear" w:color="auto" w:fill="auto"/>
          <w:lang w:val="en-US" w:eastAsia="zh-CN" w:bidi="ar-SA"/>
        </w:rPr>
      </w:pPr>
      <w:r>
        <w:rPr>
          <w:rFonts w:hint="eastAsia" w:ascii="楷体" w:hAnsi="楷体" w:eastAsia="楷体" w:cs="楷体"/>
          <w:b/>
          <w:bCs/>
          <w:color w:val="auto"/>
          <w:kern w:val="2"/>
          <w:sz w:val="32"/>
          <w:szCs w:val="32"/>
          <w:highlight w:val="none"/>
          <w:shd w:val="clear" w:color="auto" w:fill="auto"/>
          <w:lang w:val="en-US" w:eastAsia="zh-CN" w:bidi="ar-SA"/>
        </w:rPr>
        <w:t>2.积极抓好信用修复。</w:t>
      </w:r>
      <w:r>
        <w:rPr>
          <w:rFonts w:hint="eastAsia" w:ascii="仿宋_GB2312" w:hAnsi="仿宋_GB2312" w:eastAsia="仿宋_GB2312" w:cs="仿宋_GB2312"/>
          <w:b w:val="0"/>
          <w:bCs w:val="0"/>
          <w:color w:val="auto"/>
          <w:sz w:val="32"/>
          <w:szCs w:val="32"/>
          <w:highlight w:val="none"/>
          <w:shd w:val="clear" w:color="auto" w:fill="auto"/>
          <w:lang w:val="en-US" w:eastAsia="zh-CN"/>
        </w:rPr>
        <w:t>优化信用信息修复机制，对被列入经营异常名录的个体工商户，在履行法定义务符合条件后，依法移出经营异常名录；对被列入严重违法失信名单的个体工商户，在履行法定义务符合条件后，提前移出严重违法失信名单，及时进行信用修复，重新塑造信用形象，步入正常经营轨道。</w:t>
      </w:r>
      <w:r>
        <w:rPr>
          <w:rFonts w:hint="eastAsia" w:ascii="仿宋_GB2312" w:hAnsi="仿宋_GB2312" w:eastAsia="仿宋_GB2312" w:cs="仿宋_GB2312"/>
          <w:b/>
          <w:bCs/>
          <w:color w:val="auto"/>
          <w:sz w:val="32"/>
          <w:szCs w:val="32"/>
          <w:highlight w:val="none"/>
          <w:shd w:val="clear" w:color="auto" w:fill="auto"/>
          <w:lang w:val="en-US" w:eastAsia="zh-CN"/>
        </w:rPr>
        <w:t>〔责任</w:t>
      </w:r>
      <w:r>
        <w:rPr>
          <w:rFonts w:hint="eastAsia" w:ascii="仿宋_GB2312" w:hAnsi="仿宋_GB2312" w:eastAsia="仿宋_GB2312" w:cs="仿宋_GB2312"/>
          <w:b/>
          <w:bCs/>
          <w:color w:val="auto"/>
          <w:sz w:val="32"/>
          <w:szCs w:val="32"/>
          <w:highlight w:val="none"/>
          <w:shd w:val="clear" w:color="auto" w:fill="auto"/>
          <w:lang w:eastAsia="zh-CN"/>
        </w:rPr>
        <w:t>单位</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kern w:val="2"/>
          <w:sz w:val="32"/>
          <w:szCs w:val="32"/>
          <w:highlight w:val="none"/>
          <w:shd w:val="clear" w:color="auto" w:fill="auto"/>
          <w:lang w:val="en-US" w:eastAsia="zh-CN" w:bidi="ar-SA"/>
        </w:rPr>
        <w:t>市市场监管局</w:t>
      </w:r>
      <w:r>
        <w:rPr>
          <w:rFonts w:hint="eastAsia" w:ascii="仿宋_GB2312" w:hAnsi="仿宋_GB2312" w:eastAsia="仿宋_GB2312" w:cs="仿宋_GB2312"/>
          <w:b/>
          <w:bCs/>
          <w:color w:val="auto"/>
          <w:sz w:val="32"/>
          <w:szCs w:val="32"/>
          <w:highlight w:val="none"/>
          <w:shd w:val="clear" w:color="auto" w:fill="auto"/>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3.实施包容审慎监管。</w:t>
      </w:r>
      <w:r>
        <w:rPr>
          <w:rFonts w:hint="eastAsia" w:ascii="仿宋_GB2312" w:hAnsi="仿宋_GB2312" w:eastAsia="仿宋_GB2312" w:cs="仿宋_GB2312"/>
          <w:b w:val="0"/>
          <w:bCs w:val="0"/>
          <w:color w:val="auto"/>
          <w:sz w:val="32"/>
          <w:szCs w:val="32"/>
          <w:highlight w:val="none"/>
          <w:shd w:val="clear" w:color="auto" w:fill="auto"/>
          <w:lang w:val="en-US" w:eastAsia="zh-CN"/>
        </w:rPr>
        <w:t>全面落实包容审慎监管执法不予行政处罚、从轻行政处罚、减轻行政处罚和不予实施行政强制措施“四张清单”制度，在严守法律、</w:t>
      </w:r>
      <w:r>
        <w:rPr>
          <w:rFonts w:hint="eastAsia" w:ascii="仿宋_GB2312" w:hAnsi="仿宋_GB2312" w:eastAsia="仿宋_GB2312" w:cs="仿宋_GB2312"/>
          <w:b w:val="0"/>
          <w:bCs w:val="0"/>
          <w:color w:val="auto"/>
          <w:sz w:val="32"/>
          <w:szCs w:val="32"/>
          <w:highlight w:val="none"/>
          <w:shd w:val="clear" w:color="auto" w:fill="auto"/>
          <w:lang w:eastAsia="zh-CN"/>
        </w:rPr>
        <w:t>法规和</w:t>
      </w:r>
      <w:r>
        <w:rPr>
          <w:rFonts w:hint="eastAsia" w:ascii="仿宋_GB2312" w:hAnsi="仿宋_GB2312" w:eastAsia="仿宋_GB2312" w:cs="仿宋_GB2312"/>
          <w:b w:val="0"/>
          <w:bCs w:val="0"/>
          <w:color w:val="auto"/>
          <w:sz w:val="32"/>
          <w:szCs w:val="32"/>
          <w:highlight w:val="none"/>
          <w:shd w:val="clear" w:color="auto" w:fill="auto"/>
          <w:lang w:val="en-US" w:eastAsia="zh-CN"/>
        </w:rPr>
        <w:t>安全底线的前提下，推行告知、提醒、劝导等柔性监管执法方式，综合考虑个体工商户违法行为的情节、危害程度等因素，依法不予处罚或从轻、减轻处罚及不予实施行政强制措施。</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：市司法局，责任单位：市交通运输局、市市场监管局、市农业农村局、市税务局、市</w:t>
      </w:r>
      <w:r>
        <w:rPr>
          <w:rFonts w:hint="eastAsia" w:ascii="仿宋_GB2312" w:hAnsi="仿宋_GB2312" w:eastAsia="仿宋_GB2312" w:cs="仿宋_GB2312"/>
          <w:b/>
          <w:bCs/>
          <w:color w:val="auto"/>
          <w:sz w:val="32"/>
          <w:szCs w:val="32"/>
          <w:highlight w:val="none"/>
          <w:shd w:val="clear" w:color="auto" w:fill="auto"/>
          <w:lang w:eastAsia="zh-CN"/>
        </w:rPr>
        <w:t>文体广旅</w:t>
      </w:r>
      <w:r>
        <w:rPr>
          <w:rFonts w:hint="eastAsia" w:ascii="仿宋_GB2312" w:hAnsi="仿宋_GB2312" w:eastAsia="仿宋_GB2312" w:cs="仿宋_GB2312"/>
          <w:b/>
          <w:bCs/>
          <w:color w:val="auto"/>
          <w:sz w:val="32"/>
          <w:szCs w:val="32"/>
          <w:highlight w:val="none"/>
          <w:shd w:val="clear" w:color="auto" w:fill="auto"/>
          <w:lang w:val="en-US" w:eastAsia="zh-CN"/>
        </w:rPr>
        <w:t>局、市生态环境局、市应急局、市</w:t>
      </w:r>
      <w:r>
        <w:rPr>
          <w:rFonts w:hint="eastAsia" w:ascii="仿宋_GB2312" w:hAnsi="仿宋_GB2312" w:eastAsia="仿宋_GB2312" w:cs="仿宋_GB2312"/>
          <w:b/>
          <w:bCs/>
          <w:color w:val="auto"/>
          <w:sz w:val="32"/>
          <w:szCs w:val="32"/>
          <w:highlight w:val="none"/>
          <w:shd w:val="clear" w:color="auto" w:fill="auto"/>
          <w:lang w:eastAsia="zh-CN"/>
        </w:rPr>
        <w:t>综合</w:t>
      </w:r>
      <w:r>
        <w:rPr>
          <w:rFonts w:hint="default" w:ascii="仿宋_GB2312" w:hAnsi="仿宋_GB2312" w:eastAsia="仿宋_GB2312" w:cs="仿宋_GB2312"/>
          <w:b/>
          <w:bCs/>
          <w:color w:val="auto"/>
          <w:sz w:val="32"/>
          <w:szCs w:val="32"/>
          <w:highlight w:val="none"/>
          <w:shd w:val="clear" w:color="auto" w:fill="auto"/>
          <w:lang w:eastAsia="zh-CN"/>
        </w:rPr>
        <w:t>行政</w:t>
      </w:r>
      <w:r>
        <w:rPr>
          <w:rFonts w:hint="eastAsia" w:ascii="仿宋_GB2312" w:hAnsi="仿宋_GB2312" w:eastAsia="仿宋_GB2312" w:cs="仿宋_GB2312"/>
          <w:b/>
          <w:bCs/>
          <w:color w:val="auto"/>
          <w:sz w:val="32"/>
          <w:szCs w:val="32"/>
          <w:highlight w:val="none"/>
          <w:shd w:val="clear" w:color="auto" w:fill="auto"/>
          <w:lang w:eastAsia="zh-CN"/>
        </w:rPr>
        <w:t>执法管理</w:t>
      </w:r>
      <w:r>
        <w:rPr>
          <w:rFonts w:hint="eastAsia" w:ascii="仿宋_GB2312" w:hAnsi="仿宋_GB2312" w:eastAsia="仿宋_GB2312" w:cs="仿宋_GB2312"/>
          <w:b/>
          <w:bCs/>
          <w:color w:val="auto"/>
          <w:sz w:val="32"/>
          <w:szCs w:val="32"/>
          <w:highlight w:val="none"/>
          <w:shd w:val="clear" w:color="auto" w:fill="auto"/>
          <w:lang w:val="en-US" w:eastAsia="zh-CN"/>
        </w:rPr>
        <w:t>局等部门〕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jc w:val="both"/>
        <w:textAlignment w:val="auto"/>
        <w:rPr>
          <w:rFonts w:hint="eastAsia" w:ascii="仿宋" w:hAnsi="仿宋" w:eastAsia="仿宋" w:cs="仿宋"/>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4.落靠税费优惠政策。</w:t>
      </w:r>
      <w:r>
        <w:rPr>
          <w:rFonts w:hint="eastAsia" w:ascii="仿宋_GB2312" w:hAnsi="仿宋_GB2312" w:eastAsia="仿宋_GB2312" w:cs="仿宋_GB2312"/>
          <w:b w:val="0"/>
          <w:bCs w:val="0"/>
          <w:color w:val="auto"/>
          <w:sz w:val="32"/>
          <w:szCs w:val="32"/>
          <w:highlight w:val="none"/>
          <w:shd w:val="clear" w:color="auto" w:fill="auto"/>
          <w:lang w:val="en-US" w:eastAsia="zh-CN"/>
        </w:rPr>
        <w:t>本着“应免尽免、当减尽减”原则，严格落实</w:t>
      </w:r>
      <w:r>
        <w:rPr>
          <w:rFonts w:hint="eastAsia" w:ascii="仿宋_GB2312" w:hAnsi="仿宋_GB2312" w:eastAsia="仿宋_GB2312" w:cs="仿宋_GB2312"/>
          <w:b w:val="0"/>
          <w:bCs w:val="0"/>
          <w:color w:val="auto"/>
          <w:sz w:val="32"/>
          <w:szCs w:val="32"/>
          <w:highlight w:val="none"/>
          <w:shd w:val="clear" w:color="auto" w:fill="auto"/>
          <w:lang w:eastAsia="zh-CN"/>
        </w:rPr>
        <w:t>《关于进一步支持小微企业和个体工商户发展有关税费政策的公告》（</w:t>
      </w:r>
      <w:r>
        <w:rPr>
          <w:rFonts w:hint="eastAsia" w:ascii="仿宋_GB2312" w:hAnsi="仿宋_GB2312" w:eastAsia="仿宋_GB2312" w:cs="仿宋_GB2312"/>
          <w:b w:val="0"/>
          <w:bCs w:val="0"/>
          <w:color w:val="auto"/>
          <w:sz w:val="32"/>
          <w:szCs w:val="32"/>
          <w:highlight w:val="none"/>
          <w:shd w:val="clear" w:color="auto" w:fill="auto"/>
          <w:lang w:val="en-US" w:eastAsia="zh-CN"/>
        </w:rPr>
        <w:t>财政部、税务总局公告2023年第12号</w:t>
      </w:r>
      <w:r>
        <w:rPr>
          <w:rFonts w:hint="eastAsia" w:ascii="仿宋_GB2312" w:hAnsi="仿宋_GB2312" w:eastAsia="仿宋_GB2312" w:cs="仿宋_GB2312"/>
          <w:b w:val="0"/>
          <w:bCs w:val="0"/>
          <w:color w:val="auto"/>
          <w:sz w:val="32"/>
          <w:szCs w:val="32"/>
          <w:highlight w:val="none"/>
          <w:shd w:val="clear" w:color="auto" w:fill="auto"/>
          <w:lang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shd w:val="clear" w:color="auto" w:fill="auto"/>
        </w:rPr>
        <w:t>对个体工商户年应纳税所得额不超过200万元的部分，减半征收个人所得税</w:t>
      </w:r>
      <w:r>
        <w:rPr>
          <w:rFonts w:hint="eastAsia" w:ascii="仿宋_GB2312" w:hAnsi="仿宋_GB2312" w:eastAsia="仿宋_GB2312" w:cs="仿宋_GB2312"/>
          <w:b w:val="0"/>
          <w:bCs w:val="0"/>
          <w:color w:val="auto"/>
          <w:sz w:val="32"/>
          <w:szCs w:val="32"/>
          <w:highlight w:val="none"/>
          <w:shd w:val="clear" w:color="auto" w:fill="auto"/>
          <w:lang w:eastAsia="zh-CN"/>
        </w:rPr>
        <w:t>；</w:t>
      </w:r>
      <w:r>
        <w:rPr>
          <w:rFonts w:hint="eastAsia" w:ascii="仿宋_GB2312" w:hAnsi="仿宋_GB2312" w:eastAsia="仿宋_GB2312" w:cs="仿宋_GB2312"/>
          <w:b w:val="0"/>
          <w:bCs w:val="0"/>
          <w:color w:val="auto"/>
          <w:sz w:val="32"/>
          <w:szCs w:val="32"/>
          <w:highlight w:val="none"/>
          <w:shd w:val="clear" w:color="auto" w:fill="auto"/>
        </w:rPr>
        <w:t>对个体工商户减半征收资源税（不含水资源税）、城市维护建设税、房产税、城镇土地使用税、印花税（不含证券交易印花税）、耕地占用税和教育费附加、地方教育附加。</w:t>
      </w:r>
      <w:r>
        <w:rPr>
          <w:rFonts w:hint="eastAsia" w:ascii="仿宋_GB2312" w:hAnsi="仿宋_GB2312" w:eastAsia="仿宋_GB2312" w:cs="仿宋_GB2312"/>
          <w:b w:val="0"/>
          <w:bCs w:val="0"/>
          <w:color w:val="auto"/>
          <w:sz w:val="32"/>
          <w:szCs w:val="32"/>
          <w:highlight w:val="none"/>
          <w:shd w:val="clear" w:color="auto" w:fill="auto"/>
          <w:lang w:eastAsia="zh-CN"/>
        </w:rPr>
        <w:t>促进个体工商户恢复活力、增添发展后劲。</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：市税务局，责任单位：市财政局〕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5.提供用工支持帮扶。</w:t>
      </w:r>
      <w:r>
        <w:rPr>
          <w:rFonts w:hint="eastAsia" w:ascii="仿宋_GB2312" w:hAnsi="仿宋_GB2312" w:eastAsia="仿宋_GB2312" w:cs="仿宋_GB2312"/>
          <w:b w:val="0"/>
          <w:bCs w:val="0"/>
          <w:color w:val="auto"/>
          <w:sz w:val="32"/>
          <w:szCs w:val="32"/>
          <w:highlight w:val="none"/>
          <w:shd w:val="clear" w:color="auto" w:fill="auto"/>
          <w:lang w:val="en-US" w:eastAsia="zh-CN"/>
        </w:rPr>
        <w:t>各级公共就业服务机构面向个体工商户，提供劳动用工咨询、招聘信息发布、用工指导等均等化服务。依托“智慧人力资源市场”“家门口”就业服务站、零工市场组织开展线上线下专场招聘活动，为个体工商户和劳动者搭建供需对接平台。加强人社服务专员队伍建设，主动对接个体工商户，提供“一对一”招聘用工服务保障。</w:t>
      </w:r>
      <w:r>
        <w:rPr>
          <w:rFonts w:hint="eastAsia" w:ascii="仿宋_GB2312" w:hAnsi="仿宋_GB2312" w:eastAsia="仿宋_GB2312" w:cs="仿宋_GB2312"/>
          <w:b/>
          <w:bCs/>
          <w:color w:val="auto"/>
          <w:sz w:val="32"/>
          <w:szCs w:val="32"/>
          <w:highlight w:val="none"/>
          <w:shd w:val="clear" w:color="auto" w:fill="auto"/>
          <w:lang w:val="en-US" w:eastAsia="zh-CN"/>
        </w:rPr>
        <w:t>〔责任</w:t>
      </w:r>
      <w:r>
        <w:rPr>
          <w:rFonts w:hint="eastAsia" w:ascii="仿宋_GB2312" w:hAnsi="仿宋_GB2312" w:eastAsia="仿宋_GB2312" w:cs="仿宋_GB2312"/>
          <w:b/>
          <w:bCs/>
          <w:color w:val="auto"/>
          <w:sz w:val="32"/>
          <w:szCs w:val="32"/>
          <w:highlight w:val="none"/>
          <w:shd w:val="clear" w:color="auto" w:fill="auto"/>
          <w:lang w:eastAsia="zh-CN"/>
        </w:rPr>
        <w:t>单位</w:t>
      </w:r>
      <w:r>
        <w:rPr>
          <w:rFonts w:hint="eastAsia" w:ascii="仿宋_GB2312" w:hAnsi="仿宋_GB2312" w:eastAsia="仿宋_GB2312" w:cs="仿宋_GB2312"/>
          <w:b/>
          <w:bCs/>
          <w:color w:val="auto"/>
          <w:sz w:val="32"/>
          <w:szCs w:val="32"/>
          <w:highlight w:val="none"/>
          <w:shd w:val="clear" w:color="auto" w:fill="auto"/>
          <w:lang w:val="en-US" w:eastAsia="zh-CN"/>
        </w:rPr>
        <w:t>：市人社局〕</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b w:val="0"/>
          <w:bCs w:val="0"/>
          <w:color w:val="auto"/>
          <w:kern w:val="2"/>
          <w:sz w:val="32"/>
          <w:szCs w:val="32"/>
          <w:highlight w:val="none"/>
          <w:shd w:val="clear" w:color="auto" w:fill="auto"/>
          <w:lang w:val="en-US" w:eastAsia="zh-CN" w:bidi="ar-SA"/>
        </w:rPr>
      </w:pPr>
      <w:r>
        <w:rPr>
          <w:rFonts w:hint="eastAsia" w:ascii="楷体" w:hAnsi="楷体" w:eastAsia="楷体" w:cs="楷体"/>
          <w:b/>
          <w:bCs/>
          <w:color w:val="auto"/>
          <w:kern w:val="2"/>
          <w:sz w:val="32"/>
          <w:szCs w:val="32"/>
          <w:highlight w:val="none"/>
          <w:shd w:val="clear" w:color="auto" w:fill="auto"/>
          <w:lang w:val="en-US" w:eastAsia="zh-CN" w:bidi="ar-SA"/>
        </w:rPr>
        <w:t>6.强化违规收费治理</w:t>
      </w:r>
      <w:r>
        <w:rPr>
          <w:rFonts w:hint="eastAsia" w:ascii="仿宋" w:hAnsi="仿宋" w:eastAsia="仿宋" w:cs="仿宋"/>
          <w:b/>
          <w:bCs/>
          <w:color w:val="auto"/>
          <w:kern w:val="2"/>
          <w:sz w:val="32"/>
          <w:szCs w:val="32"/>
          <w:highlight w:val="none"/>
          <w:shd w:val="clear" w:color="auto" w:fill="auto"/>
          <w:lang w:val="en-US" w:eastAsia="zh-CN" w:bidi="ar-SA"/>
        </w:rPr>
        <w:t>。</w:t>
      </w:r>
      <w:r>
        <w:rPr>
          <w:rFonts w:hint="eastAsia" w:ascii="仿宋_GB2312" w:hAnsi="仿宋_GB2312" w:eastAsia="仿宋_GB2312" w:cs="仿宋_GB2312"/>
          <w:b w:val="0"/>
          <w:bCs w:val="0"/>
          <w:color w:val="auto"/>
          <w:kern w:val="2"/>
          <w:sz w:val="32"/>
          <w:szCs w:val="32"/>
          <w:highlight w:val="none"/>
          <w:shd w:val="clear" w:color="auto" w:fill="auto"/>
          <w:lang w:val="en-US" w:eastAsia="zh-CN" w:bidi="ar-SA"/>
        </w:rPr>
        <w:t>坚决查处水电气暖工程安装等方面价格违法行为。完善行政事业单位收费目录清单，依法查处落实降费减负政策不到位行为。规范金融服务收费，从严查处不落实个体工商户融资优惠政策、转嫁成本行为。规范行业协会、商会、中介收费，严厉查处行业协会、商会、中介机构乱收费行为。</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kern w:val="2"/>
          <w:sz w:val="32"/>
          <w:szCs w:val="32"/>
          <w:highlight w:val="none"/>
          <w:shd w:val="clear" w:color="auto" w:fill="auto"/>
          <w:lang w:eastAsia="zh-CN" w:bidi="ar-SA"/>
        </w:rPr>
        <w:t>牵头单位</w:t>
      </w:r>
      <w:r>
        <w:rPr>
          <w:rFonts w:hint="eastAsia" w:ascii="仿宋_GB2312" w:hAnsi="仿宋_GB2312" w:eastAsia="仿宋_GB2312" w:cs="仿宋_GB2312"/>
          <w:b/>
          <w:bCs/>
          <w:color w:val="auto"/>
          <w:kern w:val="2"/>
          <w:sz w:val="32"/>
          <w:szCs w:val="32"/>
          <w:highlight w:val="none"/>
          <w:shd w:val="clear" w:color="auto" w:fill="auto"/>
          <w:lang w:val="en-US" w:eastAsia="zh-CN" w:bidi="ar-SA"/>
        </w:rPr>
        <w:t>：市市场监管局，责任单位：市发改委、市财政局、国家金融监督管理总局牡丹江监管分局、市民政局等</w:t>
      </w:r>
      <w:r>
        <w:rPr>
          <w:rFonts w:hint="eastAsia" w:ascii="仿宋_GB2312" w:hAnsi="仿宋_GB2312" w:eastAsia="仿宋_GB2312" w:cs="仿宋_GB2312"/>
          <w:b/>
          <w:bCs/>
          <w:color w:val="auto"/>
          <w:sz w:val="32"/>
          <w:szCs w:val="32"/>
          <w:highlight w:val="none"/>
          <w:shd w:val="clear" w:color="auto" w:fill="auto"/>
          <w:lang w:val="en-US" w:eastAsia="zh-CN"/>
        </w:rPr>
        <w:t>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cs="黑体"/>
          <w:b w:val="0"/>
          <w:bCs w:val="0"/>
          <w:color w:val="auto"/>
          <w:sz w:val="32"/>
          <w:szCs w:val="32"/>
          <w:highlight w:val="none"/>
          <w:shd w:val="clear" w:color="auto" w:fill="auto"/>
          <w:lang w:val="en-US" w:eastAsia="zh-CN"/>
        </w:rPr>
      </w:pPr>
      <w:r>
        <w:rPr>
          <w:rFonts w:hint="eastAsia" w:ascii="黑体" w:hAnsi="黑体" w:eastAsia="黑体" w:cs="黑体"/>
          <w:b w:val="0"/>
          <w:bCs w:val="0"/>
          <w:color w:val="auto"/>
          <w:sz w:val="32"/>
          <w:szCs w:val="32"/>
          <w:highlight w:val="none"/>
          <w:shd w:val="clear" w:color="auto" w:fill="auto"/>
          <w:lang w:val="en-US" w:eastAsia="zh-CN"/>
        </w:rPr>
        <w:t>二、有效扩大个体工商户发展增量</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2" w:firstLineChars="200"/>
        <w:jc w:val="both"/>
        <w:textAlignment w:val="auto"/>
        <w:rPr>
          <w:rFonts w:hint="eastAsia" w:ascii="仿宋_GB2312" w:hAnsi="仿宋_GB2312" w:eastAsia="仿宋_GB2312" w:cs="仿宋_GB2312"/>
          <w:b/>
          <w:bCs/>
          <w:i w:val="0"/>
          <w:iCs w:val="0"/>
          <w:caps w:val="0"/>
          <w:color w:val="auto"/>
          <w:spacing w:val="0"/>
          <w:sz w:val="32"/>
          <w:szCs w:val="32"/>
          <w:highlight w:val="none"/>
          <w:u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7.优化登记审批服务</w:t>
      </w:r>
      <w:r>
        <w:rPr>
          <w:rFonts w:hint="eastAsia" w:ascii="楷体" w:hAnsi="楷体" w:eastAsia="楷体" w:cs="楷体"/>
          <w:b w:val="0"/>
          <w:bCs w:val="0"/>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深化“证照分离”改革，加大“照后减证”“多证合一”改革力度，允许“一址多照”，实现“零成本办理”，降低经营主体准入门槛，为经营主体准入提供便利条件。</w:t>
      </w:r>
      <w:r>
        <w:rPr>
          <w:rFonts w:hint="eastAsia" w:ascii="仿宋_GB2312" w:hAnsi="仿宋_GB2312" w:eastAsia="仿宋_GB2312" w:cs="仿宋_GB2312"/>
          <w:b w:val="0"/>
          <w:bCs w:val="0"/>
          <w:i w:val="0"/>
          <w:iCs w:val="0"/>
          <w:caps w:val="0"/>
          <w:color w:val="auto"/>
          <w:spacing w:val="0"/>
          <w:kern w:val="0"/>
          <w:sz w:val="32"/>
          <w:szCs w:val="32"/>
          <w:highlight w:val="none"/>
          <w:shd w:val="clear" w:color="auto" w:fill="auto"/>
          <w:lang w:val="en-US" w:eastAsia="zh-CN" w:bidi="ar"/>
        </w:rPr>
        <w:t>推行个体工商户直接向登记机关申请变更经营者登记，允许延续原成立时间、字号，同步申请食品经营许可、食品生产许可、特种设备使用登记等事项变更，免于现场核查。</w:t>
      </w:r>
      <w:r>
        <w:rPr>
          <w:rFonts w:hint="eastAsia" w:ascii="仿宋_GB2312" w:hAnsi="仿宋_GB2312" w:eastAsia="仿宋_GB2312" w:cs="仿宋_GB2312"/>
          <w:b w:val="0"/>
          <w:bCs w:val="0"/>
          <w:color w:val="auto"/>
          <w:sz w:val="32"/>
          <w:szCs w:val="32"/>
          <w:highlight w:val="none"/>
          <w:u w:val="none"/>
          <w:shd w:val="clear" w:color="auto" w:fill="auto"/>
          <w:lang w:eastAsia="zh-CN"/>
        </w:rPr>
        <w:t>延伸行政审批服务链条，提升集成服务质效，强化部门数据共享</w:t>
      </w:r>
      <w:r>
        <w:rPr>
          <w:rFonts w:hint="eastAsia" w:ascii="仿宋_GB2312" w:hAnsi="仿宋_GB2312" w:eastAsia="仿宋_GB2312" w:cs="仿宋_GB2312"/>
          <w:b w:val="0"/>
          <w:bCs w:val="0"/>
          <w:color w:val="auto"/>
          <w:sz w:val="32"/>
          <w:szCs w:val="32"/>
          <w:highlight w:val="none"/>
          <w:u w:val="none"/>
          <w:shd w:val="clear" w:color="auto" w:fill="auto"/>
          <w:lang w:val="en-US" w:eastAsia="zh-CN"/>
        </w:rPr>
        <w:t>,</w:t>
      </w:r>
      <w:r>
        <w:rPr>
          <w:rFonts w:hint="eastAsia" w:ascii="仿宋_GB2312" w:hAnsi="仿宋_GB2312" w:eastAsia="仿宋_GB2312" w:cs="仿宋_GB2312"/>
          <w:b w:val="0"/>
          <w:bCs w:val="0"/>
          <w:color w:val="auto"/>
          <w:sz w:val="32"/>
          <w:szCs w:val="32"/>
          <w:highlight w:val="none"/>
          <w:u w:val="none"/>
          <w:shd w:val="clear" w:color="auto" w:fill="auto"/>
          <w:lang w:eastAsia="zh-CN"/>
        </w:rPr>
        <w:t>相关事项集约协同</w:t>
      </w:r>
      <w:r>
        <w:rPr>
          <w:rFonts w:hint="eastAsia" w:ascii="仿宋_GB2312" w:hAnsi="仿宋_GB2312" w:eastAsia="仿宋_GB2312" w:cs="仿宋_GB2312"/>
          <w:b w:val="0"/>
          <w:bCs w:val="0"/>
          <w:color w:val="auto"/>
          <w:sz w:val="32"/>
          <w:szCs w:val="32"/>
          <w:highlight w:val="none"/>
          <w:u w:val="none"/>
          <w:shd w:val="clear" w:color="auto" w:fill="auto"/>
          <w:lang w:val="en-US" w:eastAsia="zh-CN"/>
        </w:rPr>
        <w:t>办理。</w:t>
      </w:r>
      <w:r>
        <w:rPr>
          <w:rFonts w:hint="eastAsia" w:ascii="仿宋_GB2312" w:hAnsi="仿宋_GB2312" w:eastAsia="仿宋_GB2312" w:cs="仿宋_GB2312"/>
          <w:b w:val="0"/>
          <w:bCs w:val="0"/>
          <w:color w:val="auto"/>
          <w:sz w:val="32"/>
          <w:szCs w:val="32"/>
          <w:highlight w:val="none"/>
          <w:shd w:val="clear" w:color="auto" w:fill="auto"/>
          <w:lang w:val="en-US" w:eastAsia="zh-CN"/>
        </w:rPr>
        <w:t>推行执业药师和特种设备作业人员资格证复审及外资企业登记跨省通办。推动线上线下办事渠道深度融合，优化政务服务，提高行政审批质效。</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kern w:val="2"/>
          <w:sz w:val="32"/>
          <w:szCs w:val="32"/>
          <w:highlight w:val="none"/>
          <w:shd w:val="clear" w:color="auto" w:fill="auto"/>
          <w:lang w:val="en-US" w:eastAsia="zh-CN" w:bidi="ar-SA"/>
        </w:rPr>
        <w:t>市市场监管局</w:t>
      </w:r>
      <w:r>
        <w:rPr>
          <w:rFonts w:hint="eastAsia" w:ascii="仿宋_GB2312" w:hAnsi="仿宋_GB2312" w:eastAsia="仿宋_GB2312" w:cs="仿宋_GB2312"/>
          <w:b/>
          <w:bCs/>
          <w:color w:val="auto"/>
          <w:sz w:val="32"/>
          <w:szCs w:val="32"/>
          <w:highlight w:val="none"/>
          <w:shd w:val="clear" w:color="auto" w:fill="auto"/>
          <w:lang w:val="en-US" w:eastAsia="zh-CN"/>
        </w:rPr>
        <w:t>，责任单位：市营商局〕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8.培育发展“四新”主体</w:t>
      </w:r>
      <w:r>
        <w:rPr>
          <w:rFonts w:hint="eastAsia" w:ascii="楷体" w:hAnsi="楷体" w:eastAsia="楷体" w:cs="楷体"/>
          <w:b w:val="0"/>
          <w:bCs w:val="0"/>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坚持创新驱动发展理念，加快培育新动能，着力发展新技术、新产业、新业态、新模式“四新”经营主体。积极推进个体工商户数字化转型，促进实体经济与数字经济深度融合发展。推广网红带货模式，培育网红经济产业。鼓励“无人商店、无人货柜”线下新业态。支持农产品“生鲜电商+冷链宅配”“中央厨房+食材冷链配送”等服务新模式。支持网络文学、数字音乐、短视频和知识付费等新文创产业发展。</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：市市场监管局，责任单位：市商务局、市</w:t>
      </w:r>
      <w:r>
        <w:rPr>
          <w:rFonts w:hint="eastAsia" w:ascii="仿宋_GB2312" w:hAnsi="仿宋_GB2312" w:eastAsia="仿宋_GB2312" w:cs="仿宋_GB2312"/>
          <w:b/>
          <w:bCs/>
          <w:color w:val="auto"/>
          <w:sz w:val="32"/>
          <w:szCs w:val="32"/>
          <w:highlight w:val="none"/>
          <w:shd w:val="clear" w:color="auto" w:fill="auto"/>
          <w:lang w:eastAsia="zh-CN"/>
        </w:rPr>
        <w:t>文体广旅</w:t>
      </w:r>
      <w:r>
        <w:rPr>
          <w:rFonts w:hint="eastAsia" w:ascii="仿宋_GB2312" w:hAnsi="仿宋_GB2312" w:eastAsia="仿宋_GB2312" w:cs="仿宋_GB2312"/>
          <w:b/>
          <w:bCs/>
          <w:color w:val="auto"/>
          <w:sz w:val="32"/>
          <w:szCs w:val="32"/>
          <w:highlight w:val="none"/>
          <w:shd w:val="clear" w:color="auto" w:fill="auto"/>
          <w:lang w:val="en-US" w:eastAsia="zh-CN"/>
        </w:rPr>
        <w:t>局等部门〕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 w:hAnsi="仿宋" w:eastAsia="仿宋" w:cs="仿宋"/>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9.扶持重点人群创业。</w:t>
      </w:r>
      <w:r>
        <w:rPr>
          <w:rFonts w:hint="eastAsia" w:ascii="仿宋_GB2312" w:hAnsi="仿宋_GB2312" w:eastAsia="仿宋_GB2312" w:cs="仿宋_GB2312"/>
          <w:b w:val="0"/>
          <w:bCs w:val="0"/>
          <w:i w:val="0"/>
          <w:iCs w:val="0"/>
          <w:caps w:val="0"/>
          <w:color w:val="auto"/>
          <w:spacing w:val="0"/>
          <w:kern w:val="0"/>
          <w:sz w:val="32"/>
          <w:szCs w:val="32"/>
          <w:highlight w:val="none"/>
          <w:shd w:val="clear" w:color="auto" w:fill="auto"/>
          <w:lang w:val="en-US" w:eastAsia="zh-CN" w:bidi="ar"/>
        </w:rPr>
        <w:t>对经审核认定的首次从事个体经营的离校2年内高校毕业生、就业困难人员、贫困劳动力、农民工等创业人员，且正常运营1年以上，并带动2人以上（含2人）就业的个体工商户，给予一次性3000元创业补贴</w:t>
      </w:r>
      <w:r>
        <w:rPr>
          <w:rFonts w:hint="eastAsia" w:ascii="仿宋_GB2312" w:hAnsi="仿宋_GB2312" w:eastAsia="仿宋_GB2312" w:cs="仿宋_GB2312"/>
          <w:b w:val="0"/>
          <w:bCs w:val="0"/>
          <w:i w:val="0"/>
          <w:iCs w:val="0"/>
          <w:caps w:val="0"/>
          <w:color w:val="auto"/>
          <w:spacing w:val="0"/>
          <w:kern w:val="0"/>
          <w:sz w:val="32"/>
          <w:szCs w:val="32"/>
          <w:highlight w:val="none"/>
          <w:shd w:val="clear" w:color="auto" w:fill="auto"/>
          <w:lang w:eastAsia="zh-CN" w:bidi="ar"/>
        </w:rPr>
        <w:t>。</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牵头单位：市人社局，</w:t>
      </w:r>
      <w:r>
        <w:rPr>
          <w:rFonts w:hint="eastAsia" w:ascii="仿宋_GB2312" w:hAnsi="仿宋_GB2312" w:eastAsia="仿宋_GB2312" w:cs="仿宋_GB2312"/>
          <w:b/>
          <w:bCs/>
          <w:color w:val="auto"/>
          <w:sz w:val="32"/>
          <w:szCs w:val="32"/>
          <w:highlight w:val="none"/>
          <w:shd w:val="clear" w:color="auto" w:fill="auto"/>
          <w:lang w:val="en-US" w:eastAsia="zh-CN"/>
        </w:rPr>
        <w:t>责任单位：市财政局〕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10.实施园区牵动战略。</w:t>
      </w:r>
      <w:r>
        <w:rPr>
          <w:rFonts w:hint="eastAsia" w:ascii="仿宋_GB2312" w:hAnsi="仿宋_GB2312" w:eastAsia="仿宋_GB2312" w:cs="仿宋_GB2312"/>
          <w:b w:val="0"/>
          <w:bCs w:val="0"/>
          <w:color w:val="auto"/>
          <w:sz w:val="32"/>
          <w:szCs w:val="32"/>
          <w:highlight w:val="none"/>
          <w:shd w:val="clear" w:color="auto" w:fill="auto"/>
          <w:lang w:val="en-US" w:eastAsia="zh-CN"/>
        </w:rPr>
        <w:t>积极支持市经开区、自由贸易区绥芬河片区以及各县（市）区经济园区发展，最大限度释放园区牵引聚集辐射功能，打造经济发展新引擎，吸纳更多投资创业者进区入园经营，壮大经营主体总量。</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牵头单位：市商务局，责任单位</w:t>
      </w:r>
      <w:r>
        <w:rPr>
          <w:rFonts w:hint="eastAsia" w:ascii="仿宋_GB2312" w:hAnsi="仿宋_GB2312" w:eastAsia="仿宋_GB2312" w:cs="仿宋_GB2312"/>
          <w:b/>
          <w:bCs/>
          <w:color w:val="auto"/>
          <w:sz w:val="32"/>
          <w:szCs w:val="32"/>
          <w:highlight w:val="none"/>
          <w:shd w:val="clear" w:color="auto" w:fill="auto"/>
          <w:lang w:val="en-US" w:eastAsia="zh-CN"/>
        </w:rPr>
        <w:t>：市开发区管委会、自由贸易区绥芬河片区管委会</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各县</w:t>
      </w:r>
      <w:r>
        <w:rPr>
          <w:rFonts w:hint="default"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市</w:t>
      </w:r>
      <w:r>
        <w:rPr>
          <w:rFonts w:hint="default"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区经济园区管委会〕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11.打造便民生活圈</w:t>
      </w:r>
      <w:r>
        <w:rPr>
          <w:rFonts w:hint="eastAsia" w:ascii="楷体" w:hAnsi="楷体" w:eastAsia="楷体" w:cs="楷体"/>
          <w:b w:val="0"/>
          <w:bCs w:val="0"/>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推进</w:t>
      </w:r>
      <w:r>
        <w:rPr>
          <w:rFonts w:hint="eastAsia" w:ascii="仿宋_GB2312" w:hAnsi="仿宋_GB2312" w:eastAsia="仿宋_GB2312" w:cs="仿宋_GB2312"/>
          <w:b w:val="0"/>
          <w:bCs w:val="0"/>
          <w:color w:val="auto"/>
          <w:sz w:val="32"/>
          <w:szCs w:val="32"/>
          <w:highlight w:val="none"/>
          <w:shd w:val="clear" w:color="auto" w:fill="auto"/>
          <w:lang w:eastAsia="zh-CN"/>
        </w:rPr>
        <w:t>我市</w:t>
      </w:r>
      <w:r>
        <w:rPr>
          <w:rFonts w:hint="eastAsia" w:ascii="仿宋_GB2312" w:hAnsi="仿宋_GB2312" w:eastAsia="仿宋_GB2312" w:cs="仿宋_GB2312"/>
          <w:b w:val="0"/>
          <w:bCs w:val="0"/>
          <w:color w:val="auto"/>
          <w:sz w:val="32"/>
          <w:szCs w:val="32"/>
          <w:highlight w:val="none"/>
          <w:shd w:val="clear" w:color="auto" w:fill="auto"/>
          <w:lang w:val="en-US" w:eastAsia="zh-CN"/>
        </w:rPr>
        <w:t>“便民生活服务圈全国试点城市建设”，植入促进个体工商户发展内容，推动商业运营与社区治理贯通结合、相得益彰，加快便民生活圈覆盖主城区步伐，在供给能力与保持业态持续提升的同时，推动消费场景和社区治理更好融合。</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：市商务局，责任单位：市市场监管局、各区政府〕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cs="黑体"/>
          <w:b w:val="0"/>
          <w:bCs w:val="0"/>
          <w:color w:val="auto"/>
          <w:sz w:val="32"/>
          <w:szCs w:val="32"/>
          <w:highlight w:val="none"/>
          <w:shd w:val="clear" w:color="auto" w:fill="auto"/>
          <w:lang w:val="en-US" w:eastAsia="zh-CN"/>
        </w:rPr>
      </w:pPr>
      <w:r>
        <w:rPr>
          <w:rFonts w:hint="eastAsia" w:ascii="黑体" w:hAnsi="黑体" w:eastAsia="黑体" w:cs="黑体"/>
          <w:b w:val="0"/>
          <w:bCs w:val="0"/>
          <w:color w:val="auto"/>
          <w:sz w:val="32"/>
          <w:szCs w:val="32"/>
          <w:highlight w:val="none"/>
          <w:shd w:val="clear" w:color="auto" w:fill="auto"/>
          <w:lang w:val="en-US" w:eastAsia="zh-CN"/>
        </w:rPr>
        <w:t>三、全力提升个体工商户发展质量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12.</w:t>
      </w:r>
      <w:r>
        <w:rPr>
          <w:rFonts w:hint="eastAsia" w:ascii="楷体" w:hAnsi="楷体" w:eastAsia="楷体" w:cs="楷体"/>
          <w:b/>
          <w:bCs/>
          <w:color w:val="auto"/>
          <w:sz w:val="32"/>
          <w:szCs w:val="32"/>
          <w:highlight w:val="none"/>
          <w:shd w:val="clear" w:color="auto" w:fill="auto"/>
          <w:lang w:eastAsia="zh-CN"/>
        </w:rPr>
        <w:t>统筹财政预算安排</w:t>
      </w:r>
      <w:r>
        <w:rPr>
          <w:rFonts w:hint="eastAsia" w:ascii="楷体" w:hAnsi="楷体" w:eastAsia="楷体" w:cs="楷体"/>
          <w:b/>
          <w:bCs/>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把促进个体工商户发展经费统筹纳入财政预算，为个体工商户贷款融资、职业技能培训等方面提供支撑。</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：市财政局，责任单位:各县</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市</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区政府〕</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13.</w:t>
      </w:r>
      <w:r>
        <w:rPr>
          <w:rFonts w:hint="eastAsia" w:ascii="楷体" w:hAnsi="楷体" w:eastAsia="楷体" w:cs="楷体"/>
          <w:b/>
          <w:bCs/>
          <w:color w:val="auto"/>
          <w:sz w:val="32"/>
          <w:szCs w:val="32"/>
          <w:highlight w:val="none"/>
          <w:shd w:val="clear" w:color="auto" w:fill="auto"/>
          <w:lang w:eastAsia="zh-CN"/>
        </w:rPr>
        <w:t>推行首贷户贷款贴息政策</w:t>
      </w:r>
      <w:r>
        <w:rPr>
          <w:rFonts w:hint="eastAsia" w:ascii="楷体" w:hAnsi="楷体" w:eastAsia="楷体" w:cs="楷体"/>
          <w:b w:val="0"/>
          <w:bCs w:val="0"/>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延长首贷户贷款贴息政策期限，2024年年底前继续采取“免申即享”方式，对市区个体工商户等</w:t>
      </w:r>
      <w:r>
        <w:rPr>
          <w:rFonts w:hint="eastAsia" w:ascii="仿宋_GB2312" w:hAnsi="仿宋_GB2312" w:eastAsia="仿宋_GB2312" w:cs="仿宋_GB2312"/>
          <w:b w:val="0"/>
          <w:bCs w:val="0"/>
          <w:color w:val="auto"/>
          <w:sz w:val="32"/>
          <w:szCs w:val="32"/>
          <w:highlight w:val="none"/>
          <w:shd w:val="clear" w:color="auto" w:fill="auto"/>
          <w:lang w:val="en-US" w:eastAsia="zh-CN"/>
        </w:rPr>
        <w:t>经营</w:t>
      </w:r>
      <w:r>
        <w:rPr>
          <w:rFonts w:hint="eastAsia" w:ascii="仿宋_GB2312" w:hAnsi="仿宋_GB2312" w:eastAsia="仿宋_GB2312" w:cs="仿宋_GB2312"/>
          <w:color w:val="auto"/>
          <w:sz w:val="32"/>
          <w:szCs w:val="32"/>
          <w:highlight w:val="none"/>
          <w:shd w:val="clear" w:color="auto" w:fill="auto"/>
          <w:lang w:val="en-US" w:eastAsia="zh-CN"/>
        </w:rPr>
        <w:t>主体首次贷款1000万元以内、年化利率6%以下的银行贷款，按贷款额3%/年给予财政贴息。</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：市财政局，责任单位：各区政府，</w:t>
      </w:r>
      <w:r>
        <w:rPr>
          <w:rFonts w:hint="default" w:ascii="仿宋_GB2312" w:hAnsi="仿宋_GB2312" w:eastAsia="仿宋_GB2312" w:cs="仿宋_GB2312"/>
          <w:b/>
          <w:bCs/>
          <w:color w:val="auto"/>
          <w:sz w:val="32"/>
          <w:szCs w:val="32"/>
          <w:highlight w:val="none"/>
          <w:shd w:val="clear" w:color="auto" w:fill="auto"/>
          <w:lang w:eastAsia="zh-CN"/>
        </w:rPr>
        <w:t>中国人民银行牡丹江市中心支行</w:t>
      </w:r>
      <w:r>
        <w:rPr>
          <w:rFonts w:hint="eastAsia" w:ascii="仿宋_GB2312" w:hAnsi="仿宋_GB2312" w:eastAsia="仿宋_GB2312" w:cs="仿宋_GB2312"/>
          <w:b/>
          <w:bCs/>
          <w:color w:val="auto"/>
          <w:sz w:val="32"/>
          <w:szCs w:val="32"/>
          <w:highlight w:val="none"/>
          <w:shd w:val="clear" w:color="auto" w:fill="auto"/>
          <w:lang w:val="en-US" w:eastAsia="zh-CN"/>
        </w:rPr>
        <w:t>、国家金融监督管理总局牡丹江监管分局〕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14.加大创业担保贷款力度。</w:t>
      </w:r>
      <w:r>
        <w:rPr>
          <w:rFonts w:hint="eastAsia" w:ascii="仿宋_GB2312" w:hAnsi="仿宋_GB2312" w:eastAsia="仿宋_GB2312" w:cs="仿宋_GB2312"/>
          <w:b w:val="0"/>
          <w:bCs w:val="0"/>
          <w:color w:val="auto"/>
          <w:sz w:val="32"/>
          <w:szCs w:val="32"/>
          <w:highlight w:val="none"/>
          <w:shd w:val="clear" w:color="auto" w:fill="auto"/>
          <w:lang w:val="en-US" w:eastAsia="zh-CN"/>
        </w:rPr>
        <w:t>增加个体工商户创业担保贷款额度，符合申请创业担保贷款条件的，额度由最高20万元提高到30万元。</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：市人社局，责任单位：市财政局、</w:t>
      </w:r>
      <w:r>
        <w:rPr>
          <w:rFonts w:hint="default" w:ascii="仿宋_GB2312" w:hAnsi="仿宋_GB2312" w:eastAsia="仿宋_GB2312" w:cs="仿宋_GB2312"/>
          <w:b/>
          <w:bCs/>
          <w:color w:val="auto"/>
          <w:sz w:val="32"/>
          <w:szCs w:val="32"/>
          <w:highlight w:val="none"/>
          <w:shd w:val="clear" w:color="auto" w:fill="auto"/>
          <w:lang w:eastAsia="zh-CN"/>
        </w:rPr>
        <w:t>中国人民银行牡丹江市中心支行</w:t>
      </w:r>
      <w:r>
        <w:rPr>
          <w:rFonts w:hint="eastAsia" w:ascii="仿宋_GB2312" w:hAnsi="仿宋_GB2312" w:eastAsia="仿宋_GB2312" w:cs="仿宋_GB2312"/>
          <w:b/>
          <w:bCs/>
          <w:color w:val="auto"/>
          <w:sz w:val="32"/>
          <w:szCs w:val="32"/>
          <w:highlight w:val="none"/>
          <w:shd w:val="clear" w:color="auto" w:fill="auto"/>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15.用好社会保险政策。</w:t>
      </w:r>
      <w:r>
        <w:rPr>
          <w:rFonts w:hint="eastAsia" w:ascii="仿宋_GB2312" w:hAnsi="仿宋_GB2312" w:eastAsia="仿宋_GB2312" w:cs="仿宋_GB2312"/>
          <w:b w:val="0"/>
          <w:bCs w:val="0"/>
          <w:color w:val="auto"/>
          <w:sz w:val="32"/>
          <w:szCs w:val="32"/>
          <w:highlight w:val="none"/>
          <w:shd w:val="clear" w:color="auto" w:fill="auto"/>
          <w:lang w:val="en-US" w:eastAsia="zh-CN"/>
        </w:rPr>
        <w:t>扩大社保覆盖面，</w:t>
      </w:r>
      <w:r>
        <w:rPr>
          <w:rFonts w:hint="eastAsia" w:ascii="仿宋_GB2312" w:hAnsi="仿宋_GB2312" w:eastAsia="仿宋_GB2312" w:cs="仿宋_GB2312"/>
          <w:b w:val="0"/>
          <w:bCs w:val="0"/>
          <w:color w:val="auto"/>
          <w:sz w:val="32"/>
          <w:szCs w:val="32"/>
          <w:highlight w:val="none"/>
          <w:shd w:val="clear" w:color="auto" w:fill="auto"/>
          <w:lang w:eastAsia="zh-CN"/>
        </w:rPr>
        <w:t>延续实施阶段性降费率政策，</w:t>
      </w:r>
      <w:r>
        <w:rPr>
          <w:rFonts w:hint="eastAsia" w:ascii="仿宋_GB2312" w:hAnsi="仿宋_GB2312" w:eastAsia="仿宋_GB2312" w:cs="仿宋_GB2312"/>
          <w:b w:val="0"/>
          <w:bCs w:val="0"/>
          <w:color w:val="auto"/>
          <w:sz w:val="32"/>
          <w:szCs w:val="32"/>
          <w:highlight w:val="none"/>
          <w:shd w:val="clear" w:color="auto" w:fill="auto"/>
          <w:lang w:val="en-US" w:eastAsia="zh-CN"/>
        </w:rPr>
        <w:t>使更多以单位形式参保、有雇工的个体工商户享受失业保险费率降至1%、工伤保险费率</w:t>
      </w:r>
      <w:r>
        <w:rPr>
          <w:rFonts w:hint="eastAsia" w:ascii="仿宋_GB2312" w:hAnsi="仿宋_GB2312" w:eastAsia="仿宋_GB2312" w:cs="仿宋_GB2312"/>
          <w:b w:val="0"/>
          <w:bCs w:val="0"/>
          <w:color w:val="auto"/>
          <w:sz w:val="32"/>
          <w:szCs w:val="32"/>
          <w:highlight w:val="none"/>
          <w:shd w:val="clear" w:color="auto" w:fill="auto"/>
          <w:lang w:eastAsia="zh-CN"/>
        </w:rPr>
        <w:t>下调20%的</w:t>
      </w:r>
      <w:r>
        <w:rPr>
          <w:rFonts w:hint="eastAsia" w:ascii="仿宋_GB2312" w:hAnsi="仿宋_GB2312" w:eastAsia="仿宋_GB2312" w:cs="仿宋_GB2312"/>
          <w:b w:val="0"/>
          <w:bCs w:val="0"/>
          <w:color w:val="auto"/>
          <w:sz w:val="32"/>
          <w:szCs w:val="32"/>
          <w:highlight w:val="none"/>
          <w:shd w:val="clear" w:color="auto" w:fill="auto"/>
          <w:lang w:val="en-US" w:eastAsia="zh-CN"/>
        </w:rPr>
        <w:t>政策，健全政策精准直达机制，促进个体工商户稳岗扩岗。</w:t>
      </w:r>
      <w:r>
        <w:rPr>
          <w:rFonts w:hint="eastAsia" w:ascii="仿宋_GB2312" w:hAnsi="仿宋_GB2312" w:eastAsia="仿宋_GB2312" w:cs="仿宋_GB2312"/>
          <w:b w:val="0"/>
          <w:bCs w:val="0"/>
          <w:color w:val="auto"/>
          <w:sz w:val="32"/>
          <w:szCs w:val="32"/>
          <w:highlight w:val="none"/>
          <w:shd w:val="clear" w:color="auto" w:fill="auto"/>
          <w:lang w:eastAsia="zh-CN"/>
        </w:rPr>
        <w:t>上述</w:t>
      </w:r>
      <w:r>
        <w:rPr>
          <w:rFonts w:hint="eastAsia" w:ascii="仿宋_GB2312" w:hAnsi="仿宋_GB2312" w:eastAsia="仿宋_GB2312" w:cs="仿宋_GB2312"/>
          <w:b w:val="0"/>
          <w:bCs w:val="0"/>
          <w:color w:val="auto"/>
          <w:sz w:val="32"/>
          <w:szCs w:val="32"/>
          <w:highlight w:val="none"/>
          <w:shd w:val="clear" w:color="auto" w:fill="auto"/>
          <w:lang w:val="en-US" w:eastAsia="zh-CN"/>
        </w:rPr>
        <w:t>政策</w:t>
      </w:r>
      <w:r>
        <w:rPr>
          <w:rFonts w:hint="eastAsia" w:ascii="仿宋_GB2312" w:hAnsi="仿宋_GB2312" w:eastAsia="仿宋_GB2312" w:cs="仿宋_GB2312"/>
          <w:b w:val="0"/>
          <w:bCs w:val="0"/>
          <w:color w:val="auto"/>
          <w:sz w:val="32"/>
          <w:szCs w:val="32"/>
          <w:highlight w:val="none"/>
          <w:shd w:val="clear" w:color="auto" w:fill="auto"/>
          <w:lang w:eastAsia="zh-CN"/>
        </w:rPr>
        <w:t>执行</w:t>
      </w:r>
      <w:r>
        <w:rPr>
          <w:rFonts w:hint="eastAsia" w:ascii="仿宋_GB2312" w:hAnsi="仿宋_GB2312" w:eastAsia="仿宋_GB2312" w:cs="仿宋_GB2312"/>
          <w:b w:val="0"/>
          <w:bCs w:val="0"/>
          <w:color w:val="auto"/>
          <w:sz w:val="32"/>
          <w:szCs w:val="32"/>
          <w:highlight w:val="none"/>
          <w:shd w:val="clear" w:color="auto" w:fill="auto"/>
          <w:lang w:val="en-US" w:eastAsia="zh-CN"/>
        </w:rPr>
        <w:t>期</w:t>
      </w:r>
      <w:r>
        <w:rPr>
          <w:rFonts w:hint="eastAsia" w:ascii="仿宋_GB2312" w:hAnsi="仿宋_GB2312" w:eastAsia="仿宋_GB2312" w:cs="仿宋_GB2312"/>
          <w:b w:val="0"/>
          <w:bCs w:val="0"/>
          <w:color w:val="auto"/>
          <w:sz w:val="32"/>
          <w:szCs w:val="32"/>
          <w:highlight w:val="none"/>
          <w:shd w:val="clear" w:color="auto" w:fill="auto"/>
          <w:lang w:eastAsia="zh-CN"/>
        </w:rPr>
        <w:t>限</w:t>
      </w:r>
      <w:r>
        <w:rPr>
          <w:rFonts w:hint="eastAsia" w:ascii="仿宋_GB2312" w:hAnsi="仿宋_GB2312" w:eastAsia="仿宋_GB2312" w:cs="仿宋_GB2312"/>
          <w:b w:val="0"/>
          <w:bCs w:val="0"/>
          <w:color w:val="auto"/>
          <w:sz w:val="32"/>
          <w:szCs w:val="32"/>
          <w:highlight w:val="none"/>
          <w:shd w:val="clear" w:color="auto" w:fill="auto"/>
          <w:lang w:val="en-US" w:eastAsia="zh-CN"/>
        </w:rPr>
        <w:t>至2025年</w:t>
      </w:r>
      <w:r>
        <w:rPr>
          <w:rFonts w:hint="eastAsia" w:ascii="仿宋_GB2312" w:hAnsi="仿宋_GB2312" w:eastAsia="仿宋_GB2312" w:cs="仿宋_GB2312"/>
          <w:b w:val="0"/>
          <w:bCs w:val="0"/>
          <w:color w:val="auto"/>
          <w:sz w:val="32"/>
          <w:szCs w:val="32"/>
          <w:highlight w:val="none"/>
          <w:shd w:val="clear" w:color="auto" w:fill="auto"/>
          <w:lang w:eastAsia="zh-CN"/>
        </w:rPr>
        <w:t>12月31日</w:t>
      </w:r>
      <w:r>
        <w:rPr>
          <w:rFonts w:hint="eastAsia" w:ascii="仿宋_GB2312" w:hAnsi="仿宋_GB2312" w:eastAsia="仿宋_GB2312" w:cs="仿宋_GB2312"/>
          <w:b w:val="0"/>
          <w:bCs w:val="0"/>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：市人社局</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责任单位：市财政局〕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default" w:ascii="仿宋" w:hAnsi="仿宋" w:eastAsia="仿宋" w:cs="仿宋"/>
          <w:b w:val="0"/>
          <w:bCs w:val="0"/>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16</w:t>
      </w:r>
      <w:r>
        <w:rPr>
          <w:rFonts w:hint="eastAsia" w:ascii="楷体" w:hAnsi="楷体" w:eastAsia="楷体" w:cs="楷体"/>
          <w:b w:val="0"/>
          <w:bCs w:val="0"/>
          <w:color w:val="auto"/>
          <w:sz w:val="32"/>
          <w:szCs w:val="32"/>
          <w:highlight w:val="none"/>
          <w:shd w:val="clear" w:color="auto" w:fill="auto"/>
          <w:lang w:val="en-US" w:eastAsia="zh-CN"/>
        </w:rPr>
        <w:t>.</w:t>
      </w:r>
      <w:r>
        <w:rPr>
          <w:rFonts w:hint="eastAsia" w:ascii="楷体" w:hAnsi="楷体" w:eastAsia="楷体" w:cs="楷体"/>
          <w:b/>
          <w:bCs/>
          <w:color w:val="auto"/>
          <w:sz w:val="32"/>
          <w:szCs w:val="32"/>
          <w:highlight w:val="none"/>
          <w:shd w:val="clear" w:color="auto" w:fill="auto"/>
          <w:lang w:val="en-US" w:eastAsia="zh-CN"/>
        </w:rPr>
        <w:t>优化职业技能培训。</w:t>
      </w:r>
      <w:r>
        <w:rPr>
          <w:rFonts w:hint="eastAsia" w:ascii="仿宋_GB2312" w:hAnsi="仿宋_GB2312" w:eastAsia="仿宋_GB2312" w:cs="仿宋_GB2312"/>
          <w:b w:val="0"/>
          <w:bCs w:val="0"/>
          <w:color w:val="auto"/>
          <w:sz w:val="32"/>
          <w:szCs w:val="32"/>
          <w:highlight w:val="none"/>
          <w:shd w:val="clear" w:color="auto" w:fill="auto"/>
          <w:lang w:val="en-US" w:eastAsia="zh-CN"/>
        </w:rPr>
        <w:t>支持市内职业院校、职业培训机构对接个体工商户需求发展，开展定向式、订单式职业技能培训，组织新技术、新产业、新业态、新模式领域专业培训，按相关规定给予培训补贴。</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：市人社局</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责任单位：市财政局、市商务局、市</w:t>
      </w:r>
      <w:r>
        <w:rPr>
          <w:rFonts w:hint="eastAsia" w:ascii="仿宋_GB2312" w:hAnsi="仿宋_GB2312" w:eastAsia="仿宋_GB2312" w:cs="仿宋_GB2312"/>
          <w:b/>
          <w:bCs/>
          <w:color w:val="auto"/>
          <w:sz w:val="32"/>
          <w:szCs w:val="32"/>
          <w:highlight w:val="none"/>
          <w:shd w:val="clear" w:color="auto" w:fill="auto"/>
          <w:lang w:eastAsia="zh-CN"/>
        </w:rPr>
        <w:t>文体广旅</w:t>
      </w:r>
      <w:r>
        <w:rPr>
          <w:rFonts w:hint="eastAsia" w:ascii="仿宋_GB2312" w:hAnsi="仿宋_GB2312" w:eastAsia="仿宋_GB2312" w:cs="仿宋_GB2312"/>
          <w:b/>
          <w:bCs/>
          <w:color w:val="auto"/>
          <w:sz w:val="32"/>
          <w:szCs w:val="32"/>
          <w:highlight w:val="none"/>
          <w:shd w:val="clear" w:color="auto" w:fill="auto"/>
          <w:lang w:val="en-US" w:eastAsia="zh-CN"/>
        </w:rPr>
        <w:t>局等部门〕</w:t>
      </w:r>
      <w:r>
        <w:rPr>
          <w:rFonts w:hint="eastAsia" w:ascii="仿宋" w:hAnsi="仿宋" w:eastAsia="仿宋" w:cs="仿宋"/>
          <w:b w:val="0"/>
          <w:bCs w:val="0"/>
          <w:color w:val="auto"/>
          <w:sz w:val="32"/>
          <w:szCs w:val="32"/>
          <w:highlight w:val="none"/>
          <w:shd w:val="clear" w:color="auto" w:fill="auto"/>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17.加强贷款融资供给。</w:t>
      </w:r>
      <w:r>
        <w:rPr>
          <w:rFonts w:hint="eastAsia" w:ascii="仿宋_GB2312" w:hAnsi="仿宋_GB2312" w:eastAsia="仿宋_GB2312" w:cs="仿宋_GB2312"/>
          <w:b w:val="0"/>
          <w:bCs w:val="0"/>
          <w:color w:val="auto"/>
          <w:sz w:val="32"/>
          <w:szCs w:val="32"/>
          <w:highlight w:val="none"/>
          <w:shd w:val="clear" w:color="auto" w:fill="auto"/>
          <w:lang w:val="en-US" w:eastAsia="zh-CN"/>
        </w:rPr>
        <w:t>用足用活中国人民银行、金融监管总局等八部门联合印发的《关于强化金融支持举措助力民营经济发展壮大的通知》</w:t>
      </w:r>
      <w:r>
        <w:rPr>
          <w:rFonts w:hint="eastAsia" w:ascii="仿宋_GB2312" w:hAnsi="仿宋_GB2312" w:eastAsia="仿宋_GB2312" w:cs="仿宋_GB2312"/>
          <w:b w:val="0"/>
          <w:bCs w:val="0"/>
          <w:color w:val="auto"/>
          <w:sz w:val="32"/>
          <w:szCs w:val="32"/>
          <w:highlight w:val="none"/>
          <w:shd w:val="clear" w:color="auto" w:fill="auto"/>
          <w:lang w:eastAsia="zh-CN"/>
        </w:rPr>
        <w:t>（银发〔2023〕233号）</w:t>
      </w:r>
      <w:r>
        <w:rPr>
          <w:rFonts w:hint="eastAsia" w:ascii="仿宋_GB2312" w:hAnsi="仿宋_GB2312" w:eastAsia="仿宋_GB2312" w:cs="仿宋_GB2312"/>
          <w:b w:val="0"/>
          <w:bCs w:val="0"/>
          <w:color w:val="auto"/>
          <w:sz w:val="32"/>
          <w:szCs w:val="32"/>
          <w:highlight w:val="none"/>
          <w:shd w:val="clear" w:color="auto" w:fill="auto"/>
          <w:lang w:val="en-US" w:eastAsia="zh-CN"/>
        </w:rPr>
        <w:t>25条政策措施，并在实际操作过程中注重向个体工商户延伸，提升个体工商户金融获得率。加强“信易贷”平台应用，完善平台功能，优化业务流程，满足个体工商户融资需求。支持个体工商户运用商标、专利等知识产权质押贷款融资，缓解资金困难。</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default" w:ascii="仿宋_GB2312" w:hAnsi="仿宋_GB2312" w:eastAsia="仿宋_GB2312" w:cs="仿宋_GB2312"/>
          <w:b/>
          <w:bCs/>
          <w:color w:val="auto"/>
          <w:sz w:val="32"/>
          <w:szCs w:val="32"/>
          <w:highlight w:val="none"/>
          <w:shd w:val="clear" w:color="auto" w:fill="auto"/>
          <w:lang w:eastAsia="zh-CN"/>
        </w:rPr>
        <w:t>中国人民银行牡丹江市中心支行</w:t>
      </w:r>
      <w:r>
        <w:rPr>
          <w:rFonts w:hint="eastAsia" w:ascii="仿宋_GB2312" w:hAnsi="仿宋_GB2312" w:eastAsia="仿宋_GB2312" w:cs="仿宋_GB2312"/>
          <w:b/>
          <w:bCs/>
          <w:color w:val="auto"/>
          <w:sz w:val="32"/>
          <w:szCs w:val="32"/>
          <w:highlight w:val="none"/>
          <w:shd w:val="clear" w:color="auto" w:fill="auto"/>
          <w:lang w:val="en-US" w:eastAsia="zh-CN"/>
        </w:rPr>
        <w:t>，责任单位：市发改委、市营商局、国家金融监督管理总局牡丹江监管分局、市市场监管局等部门〕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18.开展质量提升行动。</w:t>
      </w:r>
      <w:r>
        <w:rPr>
          <w:rFonts w:hint="eastAsia" w:ascii="仿宋_GB2312" w:hAnsi="仿宋_GB2312" w:eastAsia="仿宋_GB2312" w:cs="仿宋_GB2312"/>
          <w:b w:val="0"/>
          <w:bCs w:val="0"/>
          <w:color w:val="auto"/>
          <w:sz w:val="32"/>
          <w:szCs w:val="32"/>
          <w:highlight w:val="none"/>
          <w:shd w:val="clear" w:color="auto" w:fill="auto"/>
          <w:lang w:val="en-US" w:eastAsia="zh-CN"/>
        </w:rPr>
        <w:t>针对个体工商户质量管控能力不足短板，深入开展质量提升行动。加强质量培训和宣传，引导个体工商户树立质量意识，打造自身品牌，提升产品和服务质量，增强市场竞争力。推进质量基础设施“一站式”服务能力建设，为个体工商户提供更加便捷高效的标准、计量、质量认证、检验检测等服务。</w:t>
      </w:r>
      <w:r>
        <w:rPr>
          <w:rFonts w:hint="eastAsia" w:ascii="仿宋_GB2312" w:hAnsi="仿宋_GB2312" w:eastAsia="仿宋_GB2312" w:cs="仿宋_GB2312"/>
          <w:b/>
          <w:bCs/>
          <w:color w:val="auto"/>
          <w:sz w:val="32"/>
          <w:szCs w:val="32"/>
          <w:highlight w:val="none"/>
          <w:shd w:val="clear" w:color="auto" w:fill="auto"/>
          <w:lang w:val="en-US" w:eastAsia="zh-CN"/>
        </w:rPr>
        <w:t xml:space="preserve">〔责任单位：市市场监管局〕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19.促进结构不断优化。</w:t>
      </w:r>
      <w:r>
        <w:rPr>
          <w:rFonts w:hint="eastAsia" w:ascii="仿宋_GB2312" w:hAnsi="仿宋_GB2312" w:eastAsia="仿宋_GB2312" w:cs="仿宋_GB2312"/>
          <w:b w:val="0"/>
          <w:bCs w:val="0"/>
          <w:color w:val="auto"/>
          <w:sz w:val="32"/>
          <w:szCs w:val="32"/>
          <w:highlight w:val="none"/>
          <w:shd w:val="clear" w:color="auto" w:fill="auto"/>
          <w:lang w:val="en-US" w:eastAsia="zh-CN"/>
        </w:rPr>
        <w:t>大力培育“科技型”个体工商户，支持个体工商户进行科技创新，鼓励高校、科研机构、高端人才与个体工商户对接，促进专利转移转化，提升个体工商户发展科技含量。着力培养“生产型”个体工商户，依托农林牧渔矿等自然资源禀赋，支持“专精特新”深度开发，破解原字号瓶颈，提高产品附加值。努力打造“外向型”个体工商户，进一步做活边民互市贸易，做强跨境电商贸易，做大对俄贸易。</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：市市场监管局，责任单位：市工信局、市商务局等部门〕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20.知识产权赋能发展</w:t>
      </w:r>
      <w:r>
        <w:rPr>
          <w:rFonts w:hint="eastAsia" w:ascii="仿宋" w:hAnsi="仿宋" w:eastAsia="仿宋" w:cs="仿宋"/>
          <w:b/>
          <w:bCs/>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紧紧抓住我市“国家知识产权强市试点城市”建设契机，充分利用市区、绥芬河两个“知识产权直通窗口”为个体工商户申报商标提供高效便捷服务。畅通知识产权转让交易、投资入股、质押融资渠道，赋能个体工商户发展。</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：市市场监管局，责任单位：市财政局、</w:t>
      </w:r>
      <w:r>
        <w:rPr>
          <w:rFonts w:hint="default" w:ascii="仿宋_GB2312" w:hAnsi="仿宋_GB2312" w:eastAsia="仿宋_GB2312" w:cs="仿宋_GB2312"/>
          <w:b/>
          <w:bCs/>
          <w:color w:val="auto"/>
          <w:sz w:val="32"/>
          <w:szCs w:val="32"/>
          <w:highlight w:val="none"/>
          <w:shd w:val="clear" w:color="auto" w:fill="auto"/>
          <w:lang w:eastAsia="zh-CN"/>
        </w:rPr>
        <w:t>中国人民银行牡丹江市中心支行</w:t>
      </w:r>
      <w:r>
        <w:rPr>
          <w:rFonts w:hint="eastAsia" w:ascii="仿宋_GB2312" w:hAnsi="仿宋_GB2312" w:eastAsia="仿宋_GB2312" w:cs="仿宋_GB2312"/>
          <w:b/>
          <w:bCs/>
          <w:color w:val="auto"/>
          <w:sz w:val="32"/>
          <w:szCs w:val="32"/>
          <w:highlight w:val="none"/>
          <w:shd w:val="clear" w:color="auto" w:fill="auto"/>
          <w:lang w:val="en-US" w:eastAsia="zh-CN"/>
        </w:rPr>
        <w:t>、国家金融监督管理总局牡丹江监管分局等部门〕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21.积极引导“个转企”。</w:t>
      </w:r>
      <w:r>
        <w:rPr>
          <w:rFonts w:hint="eastAsia" w:ascii="仿宋_GB2312" w:hAnsi="仿宋_GB2312" w:eastAsia="仿宋_GB2312" w:cs="仿宋_GB2312"/>
          <w:b w:val="0"/>
          <w:bCs w:val="0"/>
          <w:color w:val="auto"/>
          <w:sz w:val="32"/>
          <w:szCs w:val="32"/>
          <w:highlight w:val="none"/>
          <w:shd w:val="clear" w:color="auto" w:fill="auto"/>
          <w:lang w:val="en-US" w:eastAsia="zh-CN"/>
        </w:rPr>
        <w:t>科学界定入库标准，完善个转企培育库，对入库个体工商户给予精准政策解读，转型升级辅导和跟踪服务，办理转型手续提供一站式服务，允许依法保留原字号、原行政许可、原荣誉称号等权益。</w:t>
      </w:r>
      <w:r>
        <w:rPr>
          <w:rFonts w:hint="eastAsia" w:ascii="仿宋_GB2312" w:hAnsi="仿宋_GB2312" w:eastAsia="仿宋_GB2312" w:cs="仿宋_GB2312"/>
          <w:b/>
          <w:bCs/>
          <w:color w:val="auto"/>
          <w:sz w:val="32"/>
          <w:szCs w:val="32"/>
          <w:highlight w:val="none"/>
          <w:shd w:val="clear" w:color="auto" w:fill="auto"/>
          <w:lang w:val="en-US" w:eastAsia="zh-CN"/>
        </w:rPr>
        <w:t>〔责任单位：市市场监管局〕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22.实行</w:t>
      </w:r>
      <w:r>
        <w:rPr>
          <w:rFonts w:hint="eastAsia" w:ascii="楷体" w:hAnsi="楷体" w:eastAsia="楷体" w:cs="楷体"/>
          <w:b/>
          <w:bCs/>
          <w:color w:val="auto"/>
          <w:sz w:val="32"/>
          <w:szCs w:val="32"/>
          <w:highlight w:val="none"/>
          <w:shd w:val="clear" w:color="auto" w:fill="auto"/>
        </w:rPr>
        <w:t>分型分类培育。</w:t>
      </w:r>
      <w:r>
        <w:rPr>
          <w:rFonts w:hint="eastAsia" w:ascii="仿宋_GB2312" w:hAnsi="仿宋_GB2312" w:eastAsia="仿宋_GB2312" w:cs="仿宋_GB2312"/>
          <w:b w:val="0"/>
          <w:bCs w:val="0"/>
          <w:color w:val="auto"/>
          <w:sz w:val="32"/>
          <w:szCs w:val="32"/>
          <w:highlight w:val="none"/>
          <w:shd w:val="clear" w:color="auto" w:fill="auto"/>
        </w:rPr>
        <w:t>开展个体工商户分型</w:t>
      </w:r>
      <w:r>
        <w:rPr>
          <w:rFonts w:hint="eastAsia" w:ascii="仿宋_GB2312" w:hAnsi="仿宋_GB2312" w:eastAsia="仿宋_GB2312" w:cs="仿宋_GB2312"/>
          <w:b w:val="0"/>
          <w:bCs w:val="0"/>
          <w:color w:val="auto"/>
          <w:sz w:val="32"/>
          <w:szCs w:val="32"/>
          <w:highlight w:val="none"/>
          <w:shd w:val="clear" w:color="auto" w:fill="auto"/>
          <w:lang w:val="en-US" w:eastAsia="zh-CN"/>
        </w:rPr>
        <w:t>分类培育工作，</w:t>
      </w:r>
      <w:r>
        <w:rPr>
          <w:rFonts w:hint="eastAsia" w:ascii="仿宋_GB2312" w:hAnsi="仿宋_GB2312" w:eastAsia="仿宋_GB2312" w:cs="仿宋_GB2312"/>
          <w:b w:val="0"/>
          <w:bCs w:val="0"/>
          <w:color w:val="auto"/>
          <w:sz w:val="32"/>
          <w:szCs w:val="32"/>
          <w:highlight w:val="none"/>
          <w:shd w:val="clear" w:color="auto" w:fill="auto"/>
        </w:rPr>
        <w:t>按照“三型”（生存型、成</w:t>
      </w:r>
      <w:r>
        <w:rPr>
          <w:rFonts w:hint="eastAsia" w:ascii="仿宋_GB2312" w:hAnsi="仿宋_GB2312" w:eastAsia="仿宋_GB2312" w:cs="仿宋_GB2312"/>
          <w:b w:val="0"/>
          <w:bCs w:val="0"/>
          <w:color w:val="auto"/>
          <w:sz w:val="32"/>
          <w:szCs w:val="32"/>
          <w:highlight w:val="none"/>
          <w:shd w:val="clear" w:color="auto" w:fill="auto"/>
          <w:lang w:eastAsia="zh-CN"/>
        </w:rPr>
        <w:t>长型、发展型）、“四类</w:t>
      </w:r>
      <w:r>
        <w:rPr>
          <w:rFonts w:hint="eastAsia" w:ascii="仿宋_GB2312" w:hAnsi="仿宋_GB2312" w:eastAsia="仿宋_GB2312" w:cs="仿宋_GB2312"/>
          <w:b w:val="0"/>
          <w:bCs w:val="0"/>
          <w:color w:val="auto"/>
          <w:sz w:val="32"/>
          <w:szCs w:val="32"/>
          <w:highlight w:val="none"/>
          <w:shd w:val="clear" w:color="auto" w:fill="auto"/>
          <w:lang w:val="en-US" w:eastAsia="zh-CN"/>
        </w:rPr>
        <w:t>”</w:t>
      </w:r>
      <w:r>
        <w:rPr>
          <w:rFonts w:hint="default" w:ascii="仿宋_GB2312" w:hAnsi="仿宋_GB2312" w:eastAsia="仿宋_GB2312" w:cs="仿宋_GB2312"/>
          <w:b w:val="0"/>
          <w:bCs w:val="0"/>
          <w:color w:val="auto"/>
          <w:sz w:val="32"/>
          <w:szCs w:val="32"/>
          <w:highlight w:val="none"/>
          <w:shd w:val="clear" w:color="auto" w:fill="auto"/>
          <w:lang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名、优、特、新</w:t>
      </w:r>
      <w:r>
        <w:rPr>
          <w:rFonts w:hint="default" w:ascii="仿宋_GB2312" w:hAnsi="仿宋_GB2312" w:eastAsia="仿宋_GB2312" w:cs="仿宋_GB2312"/>
          <w:b w:val="0"/>
          <w:bCs w:val="0"/>
          <w:color w:val="auto"/>
          <w:sz w:val="32"/>
          <w:szCs w:val="32"/>
          <w:highlight w:val="none"/>
          <w:shd w:val="clear" w:color="auto" w:fill="auto"/>
          <w:lang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精准施策，进行差异化培育，增强不同类型个体工商户持续发展能力，促进个体工商户“富起来、强起来”。</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：市市场监管局</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责任单位：市扶持个体工商户发展联席会议各成员单位〕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23.打造特色产业集群。</w:t>
      </w:r>
      <w:r>
        <w:rPr>
          <w:rFonts w:hint="eastAsia" w:ascii="仿宋_GB2312" w:hAnsi="仿宋_GB2312" w:eastAsia="仿宋_GB2312" w:cs="仿宋_GB2312"/>
          <w:b w:val="0"/>
          <w:bCs w:val="0"/>
          <w:color w:val="auto"/>
          <w:sz w:val="32"/>
          <w:szCs w:val="32"/>
          <w:highlight w:val="none"/>
          <w:shd w:val="clear" w:color="auto" w:fill="auto"/>
          <w:lang w:val="en-US" w:eastAsia="zh-CN"/>
        </w:rPr>
        <w:t>积极挖掘牡丹江独创性的“特色品种”，精心论证、规划引导、政策扶持、统筹推进，逐渐形成品牌效应</w:t>
      </w:r>
      <w:r>
        <w:rPr>
          <w:rFonts w:hint="eastAsia" w:ascii="仿宋_GB2312" w:hAnsi="仿宋_GB2312" w:eastAsia="仿宋_GB2312" w:cs="仿宋_GB2312"/>
          <w:b w:val="0"/>
          <w:bCs w:val="0"/>
          <w:color w:val="auto"/>
          <w:sz w:val="32"/>
          <w:szCs w:val="32"/>
          <w:highlight w:val="none"/>
          <w:shd w:val="clear" w:color="auto" w:fill="auto"/>
          <w:lang w:eastAsia="zh-CN"/>
        </w:rPr>
        <w:t>、</w:t>
      </w:r>
      <w:r>
        <w:rPr>
          <w:rFonts w:hint="eastAsia" w:ascii="仿宋_GB2312" w:hAnsi="仿宋_GB2312" w:eastAsia="仿宋_GB2312" w:cs="仿宋_GB2312"/>
          <w:b w:val="0"/>
          <w:bCs w:val="0"/>
          <w:color w:val="auto"/>
          <w:sz w:val="32"/>
          <w:szCs w:val="32"/>
          <w:highlight w:val="none"/>
          <w:shd w:val="clear" w:color="auto" w:fill="auto"/>
          <w:lang w:val="en-US" w:eastAsia="zh-CN"/>
        </w:rPr>
        <w:t>个体工商户产业集群效应。抓牢乡村振兴战略契机，加大经济作物种植、特色养殖、林下经济培育发展力度，打造更多更好更强的东宁“黑木耳”、海林“猴头菇”、林口“大鹅”式个体工商户产业集群。深度开发我市独有的山水、冰雪、红色、边境、民俗等旅游资源，提升旅游品质、打造风情品牌，延伸产业链条，形成</w:t>
      </w:r>
      <w:r>
        <w:rPr>
          <w:rFonts w:hint="eastAsia" w:ascii="仿宋_GB2312" w:hAnsi="仿宋_GB2312" w:eastAsia="仿宋_GB2312" w:cs="仿宋_GB2312"/>
          <w:b w:val="0"/>
          <w:bCs w:val="0"/>
          <w:color w:val="auto"/>
          <w:sz w:val="32"/>
          <w:szCs w:val="32"/>
          <w:highlight w:val="none"/>
          <w:shd w:val="clear" w:color="auto" w:fill="auto"/>
          <w:lang w:eastAsia="zh-CN"/>
        </w:rPr>
        <w:t>各具特色的</w:t>
      </w:r>
      <w:r>
        <w:rPr>
          <w:rFonts w:hint="eastAsia" w:ascii="仿宋_GB2312" w:hAnsi="仿宋_GB2312" w:eastAsia="仿宋_GB2312" w:cs="仿宋_GB2312"/>
          <w:b w:val="0"/>
          <w:bCs w:val="0"/>
          <w:color w:val="auto"/>
          <w:sz w:val="32"/>
          <w:szCs w:val="32"/>
          <w:highlight w:val="none"/>
          <w:shd w:val="clear" w:color="auto" w:fill="auto"/>
          <w:lang w:val="en-US" w:eastAsia="zh-CN"/>
        </w:rPr>
        <w:t>旅游个体工商户产业集群。</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：各县（市）区政府，责任单位：市农业农村局、市</w:t>
      </w:r>
      <w:r>
        <w:rPr>
          <w:rFonts w:hint="eastAsia" w:ascii="仿宋_GB2312" w:hAnsi="仿宋_GB2312" w:eastAsia="仿宋_GB2312" w:cs="仿宋_GB2312"/>
          <w:b/>
          <w:bCs/>
          <w:color w:val="auto"/>
          <w:sz w:val="32"/>
          <w:szCs w:val="32"/>
          <w:highlight w:val="none"/>
          <w:shd w:val="clear" w:color="auto" w:fill="auto"/>
          <w:lang w:eastAsia="zh-CN"/>
        </w:rPr>
        <w:t>文体广旅</w:t>
      </w:r>
      <w:r>
        <w:rPr>
          <w:rFonts w:hint="eastAsia" w:ascii="仿宋_GB2312" w:hAnsi="仿宋_GB2312" w:eastAsia="仿宋_GB2312" w:cs="仿宋_GB2312"/>
          <w:b/>
          <w:bCs/>
          <w:color w:val="auto"/>
          <w:sz w:val="32"/>
          <w:szCs w:val="32"/>
          <w:highlight w:val="none"/>
          <w:shd w:val="clear" w:color="auto" w:fill="auto"/>
          <w:lang w:val="en-US" w:eastAsia="zh-CN"/>
        </w:rPr>
        <w:t>局、市工信局〕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24.激励先进引领发展。</w:t>
      </w:r>
      <w:r>
        <w:rPr>
          <w:rFonts w:hint="eastAsia" w:ascii="仿宋_GB2312" w:hAnsi="仿宋_GB2312" w:eastAsia="仿宋_GB2312" w:cs="仿宋_GB2312"/>
          <w:b w:val="0"/>
          <w:bCs w:val="0"/>
          <w:color w:val="auto"/>
          <w:sz w:val="32"/>
          <w:szCs w:val="32"/>
          <w:highlight w:val="none"/>
          <w:shd w:val="clear" w:color="auto" w:fill="auto"/>
          <w:lang w:val="en-US" w:eastAsia="zh-CN"/>
        </w:rPr>
        <w:t>树立表彰先进典型，对推动高质量发展起引领作用的个体工商户授予“质量之星”，对创新创业取得特别突出成绩的个体工商户授予“创业之星”，对带动致富并热心公益事业成效卓著的个体工商户授予“光彩之星”，提升广大个体工商户的荣誉感、使命感、责任感，为经济社会发展作出更大的贡献。</w:t>
      </w:r>
      <w:r>
        <w:rPr>
          <w:rFonts w:hint="eastAsia" w:ascii="仿宋_GB2312" w:hAnsi="仿宋_GB2312" w:eastAsia="仿宋_GB2312" w:cs="仿宋_GB2312"/>
          <w:b/>
          <w:bCs/>
          <w:color w:val="auto"/>
          <w:sz w:val="32"/>
          <w:szCs w:val="32"/>
          <w:highlight w:val="none"/>
          <w:shd w:val="clear" w:color="auto" w:fill="auto"/>
          <w:lang w:val="en-US" w:eastAsia="zh-CN"/>
        </w:rPr>
        <w:t>〔责任单位：市市场监管局〕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2" w:firstLineChars="200"/>
        <w:jc w:val="both"/>
        <w:textAlignment w:val="auto"/>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楷体" w:hAnsi="楷体" w:eastAsia="楷体" w:cs="楷体"/>
          <w:b/>
          <w:bCs/>
          <w:color w:val="auto"/>
          <w:sz w:val="32"/>
          <w:szCs w:val="32"/>
          <w:highlight w:val="none"/>
          <w:shd w:val="clear" w:color="auto" w:fill="auto"/>
          <w:lang w:val="en-US" w:eastAsia="zh-CN"/>
        </w:rPr>
        <w:t>25.切实保障合法权益。</w:t>
      </w:r>
      <w:r>
        <w:rPr>
          <w:rFonts w:hint="eastAsia" w:ascii="仿宋_GB2312" w:hAnsi="仿宋_GB2312" w:eastAsia="仿宋_GB2312" w:cs="仿宋_GB2312"/>
          <w:b w:val="0"/>
          <w:bCs w:val="0"/>
          <w:color w:val="auto"/>
          <w:kern w:val="2"/>
          <w:sz w:val="32"/>
          <w:szCs w:val="32"/>
          <w:highlight w:val="none"/>
          <w:shd w:val="clear" w:color="auto" w:fill="auto"/>
          <w:lang w:val="en-US" w:eastAsia="zh-CN" w:bidi="ar-SA"/>
        </w:rPr>
        <w:t>严肃清理机关、事业单位、国有企业拖欠个体工商户款项行为，完善拖欠账款清理与审计、督查、巡察等常态化对接机制。</w:t>
      </w:r>
      <w:r>
        <w:rPr>
          <w:rFonts w:hint="eastAsia" w:ascii="仿宋_GB2312" w:hAnsi="仿宋_GB2312" w:eastAsia="仿宋_GB2312" w:cs="仿宋_GB2312"/>
          <w:b w:val="0"/>
          <w:bCs w:val="0"/>
          <w:color w:val="auto"/>
          <w:sz w:val="32"/>
          <w:szCs w:val="32"/>
          <w:highlight w:val="none"/>
          <w:shd w:val="clear" w:color="auto" w:fill="auto"/>
          <w:lang w:val="en-US" w:eastAsia="zh-CN"/>
        </w:rPr>
        <w:t>推广“</w:t>
      </w:r>
      <w:r>
        <w:rPr>
          <w:rFonts w:hint="eastAsia" w:ascii="仿宋_GB2312" w:hAnsi="仿宋_GB2312" w:eastAsia="仿宋_GB2312" w:cs="仿宋_GB2312"/>
          <w:color w:val="auto"/>
          <w:sz w:val="32"/>
          <w:szCs w:val="32"/>
          <w:highlight w:val="none"/>
          <w:shd w:val="clear" w:color="auto" w:fill="auto"/>
          <w:lang w:eastAsia="zh-CN"/>
        </w:rPr>
        <w:t>行政执法特邀监督员</w:t>
      </w:r>
      <w:r>
        <w:rPr>
          <w:rFonts w:hint="eastAsia" w:ascii="仿宋_GB2312" w:hAnsi="仿宋_GB2312" w:eastAsia="仿宋_GB2312" w:cs="仿宋_GB2312"/>
          <w:b w:val="0"/>
          <w:bCs w:val="0"/>
          <w:color w:val="auto"/>
          <w:sz w:val="32"/>
          <w:szCs w:val="32"/>
          <w:highlight w:val="none"/>
          <w:shd w:val="clear" w:color="auto" w:fill="auto"/>
          <w:lang w:val="en-US" w:eastAsia="zh-CN"/>
        </w:rPr>
        <w:t>”陪同制度，有效规范行政执法的“越位、错位”问题，促进行政执法公开性、公正性、透明性。完善个体工商户法律服务体系，依托律师团队，开展“个体工商户法治护航行动”，提供法律咨询、公证、调解、仲裁等法律服务，维护个体工商户合法权益。</w:t>
      </w:r>
      <w:r>
        <w:rPr>
          <w:rFonts w:hint="eastAsia" w:ascii="仿宋_GB2312" w:hAnsi="仿宋_GB2312" w:eastAsia="仿宋_GB2312" w:cs="仿宋_GB2312"/>
          <w:b/>
          <w:bCs/>
          <w:color w:val="auto"/>
          <w:sz w:val="32"/>
          <w:szCs w:val="32"/>
          <w:highlight w:val="none"/>
          <w:shd w:val="clear" w:color="auto" w:fill="auto"/>
          <w:lang w:val="en-US" w:eastAsia="zh-CN"/>
        </w:rPr>
        <w:t>〔</w:t>
      </w:r>
      <w:r>
        <w:rPr>
          <w:rFonts w:hint="eastAsia" w:ascii="仿宋_GB2312" w:hAnsi="仿宋_GB2312" w:eastAsia="仿宋_GB2312" w:cs="仿宋_GB2312"/>
          <w:b/>
          <w:bCs/>
          <w:color w:val="auto"/>
          <w:sz w:val="32"/>
          <w:szCs w:val="32"/>
          <w:highlight w:val="none"/>
          <w:shd w:val="clear" w:color="auto" w:fill="auto"/>
          <w:lang w:eastAsia="zh-CN"/>
        </w:rPr>
        <w:t>牵头单位</w:t>
      </w:r>
      <w:r>
        <w:rPr>
          <w:rFonts w:hint="eastAsia" w:ascii="仿宋_GB2312" w:hAnsi="仿宋_GB2312" w:eastAsia="仿宋_GB2312" w:cs="仿宋_GB2312"/>
          <w:b/>
          <w:bCs/>
          <w:color w:val="auto"/>
          <w:sz w:val="32"/>
          <w:szCs w:val="32"/>
          <w:highlight w:val="none"/>
          <w:shd w:val="clear" w:color="auto" w:fill="auto"/>
          <w:lang w:val="en-US" w:eastAsia="zh-CN"/>
        </w:rPr>
        <w:t>：市司法局，</w:t>
      </w:r>
      <w:r>
        <w:rPr>
          <w:rFonts w:hint="eastAsia" w:ascii="仿宋_GB2312" w:hAnsi="仿宋_GB2312" w:eastAsia="仿宋_GB2312" w:cs="仿宋_GB2312"/>
          <w:b/>
          <w:bCs/>
          <w:color w:val="auto"/>
          <w:sz w:val="32"/>
          <w:szCs w:val="32"/>
          <w:highlight w:val="none"/>
          <w:shd w:val="clear" w:color="auto" w:fill="auto"/>
          <w:lang w:eastAsia="zh-CN"/>
        </w:rPr>
        <w:t>责任单位</w:t>
      </w:r>
      <w:r>
        <w:rPr>
          <w:rFonts w:hint="eastAsia" w:ascii="仿宋_GB2312" w:hAnsi="仿宋_GB2312" w:eastAsia="仿宋_GB2312" w:cs="仿宋_GB2312"/>
          <w:b/>
          <w:bCs/>
          <w:color w:val="auto"/>
          <w:sz w:val="32"/>
          <w:szCs w:val="32"/>
          <w:highlight w:val="none"/>
          <w:shd w:val="clear" w:color="auto" w:fill="auto"/>
          <w:lang w:val="en-US" w:eastAsia="zh-CN"/>
        </w:rPr>
        <w:t>：市营商局、市委巡察办、市审计局、市市场监管局、市个体私营经济发展服务中心等部门〕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z w:val="32"/>
          <w:szCs w:val="32"/>
          <w:highlight w:val="none"/>
          <w:shd w:val="clear" w:color="auto" w:fill="auto"/>
          <w:lang w:val="en-US" w:eastAsia="zh-CN"/>
        </w:rPr>
      </w:pPr>
      <w:r>
        <w:rPr>
          <w:rFonts w:hint="eastAsia" w:ascii="仿宋_GB2312" w:hAnsi="仿宋_GB2312" w:eastAsia="仿宋_GB2312" w:cs="仿宋_GB2312"/>
          <w:b w:val="0"/>
          <w:bCs w:val="0"/>
          <w:color w:val="auto"/>
          <w:sz w:val="32"/>
          <w:szCs w:val="32"/>
          <w:highlight w:val="none"/>
          <w:shd w:val="clear" w:color="auto" w:fill="auto"/>
          <w:lang w:val="en-US" w:eastAsia="zh-CN"/>
        </w:rPr>
        <w:t>本政策措施自</w:t>
      </w:r>
      <w:r>
        <w:rPr>
          <w:rFonts w:hint="eastAsia" w:ascii="仿宋_GB2312" w:hAnsi="仿宋_GB2312" w:eastAsia="仿宋_GB2312" w:cs="仿宋_GB2312"/>
          <w:b w:val="0"/>
          <w:bCs w:val="0"/>
          <w:color w:val="auto"/>
          <w:sz w:val="32"/>
          <w:szCs w:val="32"/>
          <w:highlight w:val="none"/>
          <w:shd w:val="clear" w:color="auto" w:fill="auto"/>
          <w:lang w:eastAsia="zh-CN"/>
        </w:rPr>
        <w:t>印发之</w:t>
      </w:r>
      <w:r>
        <w:rPr>
          <w:rFonts w:hint="eastAsia" w:ascii="仿宋_GB2312" w:hAnsi="仿宋_GB2312" w:eastAsia="仿宋_GB2312" w:cs="仿宋_GB2312"/>
          <w:b w:val="0"/>
          <w:bCs w:val="0"/>
          <w:color w:val="auto"/>
          <w:sz w:val="32"/>
          <w:szCs w:val="32"/>
          <w:highlight w:val="none"/>
          <w:shd w:val="clear" w:color="auto" w:fill="auto"/>
          <w:lang w:val="en-US" w:eastAsia="zh-CN"/>
        </w:rPr>
        <w:t>日起施行，有效期五年。在执行过程中，如国家、省相关政策进行调整，本政策措施适时进行修改。</w:t>
      </w:r>
    </w:p>
    <w:p>
      <w:pPr>
        <w:spacing w:line="640" w:lineRule="exact"/>
        <w:ind w:firstLine="420" w:firstLineChars="150"/>
        <w:rPr>
          <w:rFonts w:hint="eastAsia" w:ascii="仿宋_GB2312" w:eastAsia="仿宋_GB2312"/>
          <w:sz w:val="28"/>
        </w:rPr>
      </w:pPr>
    </w:p>
    <w:p>
      <w:pPr>
        <w:pStyle w:val="2"/>
        <w:rPr>
          <w:rFonts w:hint="eastAsia" w:ascii="仿宋_GB2312" w:eastAsia="仿宋_GB2312"/>
          <w:sz w:val="28"/>
        </w:rPr>
      </w:pPr>
    </w:p>
    <w:p>
      <w:pPr>
        <w:pStyle w:val="2"/>
        <w:rPr>
          <w:rFonts w:hint="eastAsia" w:ascii="仿宋_GB2312" w:eastAsia="仿宋_GB2312"/>
          <w:sz w:val="28"/>
        </w:rPr>
      </w:pPr>
    </w:p>
    <w:p>
      <w:pPr>
        <w:spacing w:line="640" w:lineRule="exact"/>
        <w:ind w:firstLine="315" w:firstLineChars="150"/>
        <w:rPr>
          <w:rFonts w:hint="eastAsia" w:ascii="u5FAEu8F6Fu96C5u9ED1" w:hAnsi="u5FAEu8F6Fu96C5u9ED1" w:eastAsia="u5FAEu8F6Fu96C5u9ED1" w:cs="u5FAEu8F6Fu96C5u9ED1"/>
          <w:i w:val="0"/>
          <w:iCs w:val="0"/>
          <w:caps w:val="0"/>
          <w:color w:val="222222"/>
          <w:spacing w:val="0"/>
          <w:sz w:val="27"/>
          <w:szCs w:val="27"/>
          <w:shd w:val="clear" w:color="auto" w:fill="FFFFFF"/>
          <w:lang w:val="en-US" w:eastAsia="zh-CN"/>
        </w:rPr>
      </w:pPr>
      <w:r>
        <w:rPr>
          <w:rFonts w:ascii="Times New Roman" w:eastAsia="宋体"/>
          <w:szCs w:val="2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434340</wp:posOffset>
                </wp:positionV>
                <wp:extent cx="53721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0pt;margin-top:34.2pt;height:0pt;width:423pt;z-index:251659264;mso-width-relative:page;mso-height-relative:page;" filled="f" stroked="t" coordsize="21600,21600" o:gfxdata="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BYAAABkcnMvUEsBAhQAFAAAAAgAh07iQD5/L7nTAAAABgEAAA8AAAAAAAAAAQAgAAAA&#10;OAAAAGRycy9kb3ducmV2LnhtbFBLAQIUABQAAAAIAIdO4kC+LpOq+gEAAO4DAAAOAAAAAAAAAAEA&#10;IAAAADgBAABkcnMvZTJvRG9jLnhtbFBLBQYAAAAABgAGAFkBAACkBQAAAAA=&#10;">
                <v:fill on="f" focussize="0,0"/>
                <v:stroke color="#000000" joinstyle="round"/>
                <v:imagedata o:title=""/>
                <o:lock v:ext="edit" aspectratio="f"/>
              </v:line>
            </w:pict>
          </mc:Fallback>
        </mc:AlternateContent>
      </w:r>
      <w:r>
        <w:rPr>
          <w:rFonts w:ascii="Times New Roman" w:eastAsia="宋体"/>
          <w:szCs w:val="24"/>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33020</wp:posOffset>
                </wp:positionV>
                <wp:extent cx="53721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0pt;margin-top:2.6pt;height:0pt;width:423pt;z-index:251660288;mso-width-relative:page;mso-height-relative:page;" filled="f" stroked="t" coordsize="21600,21600" o:gfxdata="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hd9RadIAAAAEAQAADwAAAAAAAAABACAAAAA4&#10;AAAAZHJzL2Rvd25yZXYueG1sUEsBAhQAFAAAAAgAh07iQHVYCQL6AQAA7gMAAA4AAAAAAAAAAQAg&#10;AAAANwEAAGRycy9lMm9Eb2MueG1sUEsFBgAAAAAGAAYAWQEAAKMFAAAAAA==&#10;">
                <v:fill on="f" focussize="0,0"/>
                <v:stroke color="#000000" joinstyle="round"/>
                <v:imagedata o:title=""/>
                <o:lock v:ext="edit" aspectratio="f"/>
              </v:line>
            </w:pict>
          </mc:Fallback>
        </mc:AlternateContent>
      </w:r>
      <w:r>
        <w:rPr>
          <w:rFonts w:hint="eastAsia" w:ascii="仿宋_GB2312" w:eastAsia="仿宋_GB2312"/>
          <w:sz w:val="28"/>
        </w:rPr>
        <w:t xml:space="preserve">牡丹江市人民政府办公室          </w:t>
      </w:r>
      <w:r>
        <w:rPr>
          <w:rFonts w:hint="default" w:ascii="仿宋_GB2312" w:eastAsia="仿宋_GB2312"/>
          <w:sz w:val="28"/>
        </w:rPr>
        <w:t xml:space="preserve">  </w:t>
      </w:r>
      <w:r>
        <w:rPr>
          <w:rFonts w:hint="eastAsia" w:ascii="仿宋_GB2312" w:eastAsia="仿宋_GB2312"/>
          <w:sz w:val="28"/>
        </w:rPr>
        <w:t xml:space="preserve">   202</w:t>
      </w:r>
      <w:r>
        <w:rPr>
          <w:rFonts w:hint="default" w:ascii="仿宋_GB2312" w:eastAsia="仿宋_GB2312"/>
          <w:sz w:val="28"/>
        </w:rPr>
        <w:t>4</w:t>
      </w:r>
      <w:r>
        <w:rPr>
          <w:rFonts w:hint="eastAsia" w:ascii="仿宋_GB2312" w:eastAsia="仿宋_GB2312"/>
          <w:sz w:val="28"/>
        </w:rPr>
        <w:t>年</w:t>
      </w:r>
      <w:r>
        <w:rPr>
          <w:rFonts w:hint="default" w:ascii="仿宋_GB2312" w:eastAsia="仿宋_GB2312"/>
          <w:sz w:val="28"/>
        </w:rPr>
        <w:t>8</w:t>
      </w:r>
      <w:r>
        <w:rPr>
          <w:rFonts w:hint="eastAsia" w:ascii="仿宋_GB2312" w:eastAsia="仿宋_GB2312"/>
          <w:sz w:val="28"/>
        </w:rPr>
        <w:t>月</w:t>
      </w:r>
      <w:r>
        <w:rPr>
          <w:rFonts w:hint="default" w:ascii="仿宋_GB2312" w:eastAsia="仿宋_GB2312"/>
          <w:sz w:val="28"/>
        </w:rPr>
        <w:t>15</w:t>
      </w:r>
      <w:r>
        <w:rPr>
          <w:rFonts w:hint="eastAsia" w:ascii="仿宋_GB2312" w:eastAsia="仿宋_GB2312"/>
          <w:sz w:val="28"/>
        </w:rPr>
        <w:t>日印发</w:t>
      </w:r>
    </w:p>
    <w:p>
      <w:pPr>
        <w:pStyle w:val="3"/>
        <w:rPr>
          <w:rFonts w:hint="eastAsia"/>
          <w:lang w:val="en-US" w:eastAsia="zh-CN"/>
        </w:rPr>
      </w:pPr>
    </w:p>
    <w:sectPr>
      <w:footerReference r:id="rId3" w:type="default"/>
      <w:pgSz w:w="11906" w:h="16838"/>
      <w:pgMar w:top="2098" w:right="1474" w:bottom="1984" w:left="1587" w:header="851" w:footer="992" w:gutter="0"/>
      <w:pgNumType w:fmt="numberInDash"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u5FAEu8F6Fu96C5u9ED1">
    <w:altName w:val="华文仿宋"/>
    <w:panose1 w:val="00000000000000000000"/>
    <w:charset w:val="00"/>
    <w:family w:val="auto"/>
    <w:pitch w:val="default"/>
    <w:sig w:usb0="00000000" w:usb1="00000000" w:usb2="00000000" w:usb3="00000000" w:csb0="00040001" w:csb1="0000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kODAzYTQyNDdlYjRmNGE2MjYzMzI4NzM2NmI4YTcifQ=="/>
  </w:docVars>
  <w:rsids>
    <w:rsidRoot w:val="00000000"/>
    <w:rsid w:val="007A313A"/>
    <w:rsid w:val="00ED6E5B"/>
    <w:rsid w:val="00FA170D"/>
    <w:rsid w:val="02697F6B"/>
    <w:rsid w:val="05FE13B0"/>
    <w:rsid w:val="083835DC"/>
    <w:rsid w:val="0AD11C62"/>
    <w:rsid w:val="0FC64FD5"/>
    <w:rsid w:val="12D11965"/>
    <w:rsid w:val="13A04D6B"/>
    <w:rsid w:val="141A0360"/>
    <w:rsid w:val="145004CF"/>
    <w:rsid w:val="15EB1F66"/>
    <w:rsid w:val="198F600D"/>
    <w:rsid w:val="1ADF229D"/>
    <w:rsid w:val="1C93048F"/>
    <w:rsid w:val="1CEB5018"/>
    <w:rsid w:val="1D686669"/>
    <w:rsid w:val="1DD55F87"/>
    <w:rsid w:val="1EFB5CE1"/>
    <w:rsid w:val="1F7A5016"/>
    <w:rsid w:val="22317971"/>
    <w:rsid w:val="2465254F"/>
    <w:rsid w:val="279A26D7"/>
    <w:rsid w:val="2DF34340"/>
    <w:rsid w:val="2F4F22C4"/>
    <w:rsid w:val="2FFC2778"/>
    <w:rsid w:val="31EA0DA1"/>
    <w:rsid w:val="329418EC"/>
    <w:rsid w:val="347717CB"/>
    <w:rsid w:val="34A0279C"/>
    <w:rsid w:val="35CE2701"/>
    <w:rsid w:val="35D243D3"/>
    <w:rsid w:val="35EC34A8"/>
    <w:rsid w:val="362A409A"/>
    <w:rsid w:val="39CD3C67"/>
    <w:rsid w:val="3B200B40"/>
    <w:rsid w:val="3B4007CD"/>
    <w:rsid w:val="3E213C0C"/>
    <w:rsid w:val="3EAF15DE"/>
    <w:rsid w:val="3FFFEAC8"/>
    <w:rsid w:val="40806A89"/>
    <w:rsid w:val="413D5C30"/>
    <w:rsid w:val="42EE0B0F"/>
    <w:rsid w:val="43275FFF"/>
    <w:rsid w:val="4454046E"/>
    <w:rsid w:val="456114A6"/>
    <w:rsid w:val="45C13148"/>
    <w:rsid w:val="462907DC"/>
    <w:rsid w:val="493A7D88"/>
    <w:rsid w:val="4B35329F"/>
    <w:rsid w:val="4B8E3ECB"/>
    <w:rsid w:val="4BFC22EF"/>
    <w:rsid w:val="4C1A2CCE"/>
    <w:rsid w:val="4C940979"/>
    <w:rsid w:val="50A94C64"/>
    <w:rsid w:val="556C77BB"/>
    <w:rsid w:val="556D3E22"/>
    <w:rsid w:val="55AFCB98"/>
    <w:rsid w:val="571776A8"/>
    <w:rsid w:val="57785200"/>
    <w:rsid w:val="58477359"/>
    <w:rsid w:val="5A0E79D5"/>
    <w:rsid w:val="5A3177A3"/>
    <w:rsid w:val="5B7C4509"/>
    <w:rsid w:val="5D7E49BE"/>
    <w:rsid w:val="62F447C2"/>
    <w:rsid w:val="635D793F"/>
    <w:rsid w:val="64A02D6F"/>
    <w:rsid w:val="65511578"/>
    <w:rsid w:val="655352EF"/>
    <w:rsid w:val="66DE41B2"/>
    <w:rsid w:val="67267591"/>
    <w:rsid w:val="688E7659"/>
    <w:rsid w:val="6B7FAFC3"/>
    <w:rsid w:val="6C3B38AD"/>
    <w:rsid w:val="6C6604E0"/>
    <w:rsid w:val="6D0D65C9"/>
    <w:rsid w:val="6D820A25"/>
    <w:rsid w:val="6E6FAB60"/>
    <w:rsid w:val="6EF45447"/>
    <w:rsid w:val="6EFB71E9"/>
    <w:rsid w:val="732D243F"/>
    <w:rsid w:val="76814923"/>
    <w:rsid w:val="77091E9A"/>
    <w:rsid w:val="77F743F2"/>
    <w:rsid w:val="788A7AB4"/>
    <w:rsid w:val="795D70E8"/>
    <w:rsid w:val="7A3FA622"/>
    <w:rsid w:val="7C627A96"/>
    <w:rsid w:val="7C7BEBAC"/>
    <w:rsid w:val="7CBEC59A"/>
    <w:rsid w:val="7DC7C4B7"/>
    <w:rsid w:val="7E5675C5"/>
    <w:rsid w:val="7E6E4DF3"/>
    <w:rsid w:val="7EE34CC4"/>
    <w:rsid w:val="A77F07A2"/>
    <w:rsid w:val="B5F7FF0D"/>
    <w:rsid w:val="C7BFA3D6"/>
    <w:rsid w:val="C7DFEEC1"/>
    <w:rsid w:val="DB31196A"/>
    <w:rsid w:val="F777BFF6"/>
    <w:rsid w:val="F7FF0E28"/>
    <w:rsid w:val="FB373E39"/>
    <w:rsid w:val="FB7FB284"/>
    <w:rsid w:val="FFD1023D"/>
    <w:rsid w:val="FFD670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szCs w:val="21"/>
    </w:rPr>
  </w:style>
  <w:style w:type="paragraph" w:styleId="3">
    <w:name w:val="Body Text"/>
    <w:basedOn w:val="1"/>
    <w:next w:val="1"/>
    <w:qFormat/>
    <w:uiPriority w:val="0"/>
    <w:pPr>
      <w:widowControl w:val="0"/>
      <w:spacing w:after="120" w:afterLines="0"/>
      <w:jc w:val="both"/>
    </w:pPr>
    <w:rPr>
      <w:rFonts w:ascii="Calibri" w:hAnsi="Calibri" w:eastAsia="宋体" w:cs="Times New Roman"/>
      <w:kern w:val="2"/>
      <w:sz w:val="21"/>
      <w:szCs w:val="24"/>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4603</Words>
  <Characters>4678</Characters>
  <Lines>0</Lines>
  <Paragraphs>0</Paragraphs>
  <TotalTime>6</TotalTime>
  <ScaleCrop>false</ScaleCrop>
  <LinksUpToDate>false</LinksUpToDate>
  <CharactersWithSpaces>4717</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2024-01-27T17:25:00Z</dcterms:created>
  <dc:creator>Administrator</dc:creator>
  <cp:lastModifiedBy>greatwall</cp:lastModifiedBy>
  <cp:lastPrinted>2024-07-13T01:51:00Z</cp:lastPrinted>
  <dcterms:modified xsi:type="dcterms:W3CDTF">2024-08-23T08:45:17Z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93F20C849BE5E05E6FDBC7663BEE400C</vt:lpwstr>
  </property>
</Properties>
</file>